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D046" w14:textId="77777777" w:rsidR="00FF5C65" w:rsidRPr="00FF5C65" w:rsidRDefault="00FF5C65" w:rsidP="00FF5C65">
      <w:pPr>
        <w:spacing w:beforeAutospacing="1" w:after="0" w:afterAutospacing="1" w:line="240" w:lineRule="auto"/>
        <w:textAlignment w:val="baseline"/>
        <w:outlineLvl w:val="0"/>
        <w:rPr>
          <w:rFonts w:ascii="Arial" w:eastAsia="Times New Roman" w:hAnsi="Arial" w:cs="Arial"/>
          <w:color w:val="333333"/>
          <w:kern w:val="36"/>
          <w:sz w:val="48"/>
          <w:szCs w:val="48"/>
        </w:rPr>
      </w:pPr>
      <w:r w:rsidRPr="00FF5C65">
        <w:rPr>
          <w:rFonts w:ascii="Arial" w:eastAsia="Times New Roman" w:hAnsi="Arial" w:cs="Arial"/>
          <w:color w:val="333333"/>
          <w:kern w:val="36"/>
          <w:sz w:val="48"/>
          <w:szCs w:val="48"/>
          <w:bdr w:val="none" w:sz="0" w:space="0" w:color="auto" w:frame="1"/>
        </w:rPr>
        <w:t>Selection Rules</w:t>
      </w:r>
    </w:p>
    <w:p w14:paraId="4977DA28" w14:textId="77777777" w:rsidR="00FF5C65" w:rsidRPr="00FF5C65" w:rsidRDefault="00FF5C65" w:rsidP="00FF5C65">
      <w:pPr>
        <w:spacing w:before="100" w:beforeAutospacing="1" w:after="100" w:afterAutospacing="1" w:line="240" w:lineRule="auto"/>
        <w:textAlignment w:val="baseline"/>
        <w:rPr>
          <w:rFonts w:ascii="Arial" w:eastAsia="Times New Roman" w:hAnsi="Arial" w:cs="Arial"/>
          <w:color w:val="333333"/>
          <w:sz w:val="24"/>
          <w:szCs w:val="24"/>
        </w:rPr>
      </w:pPr>
      <w:r w:rsidRPr="00FF5C65">
        <w:rPr>
          <w:rFonts w:ascii="Arial" w:eastAsia="Times New Roman" w:hAnsi="Arial" w:cs="Arial"/>
          <w:color w:val="333333"/>
          <w:sz w:val="24"/>
          <w:szCs w:val="24"/>
        </w:rPr>
        <w:t>Set up your product rules to automatically add, remove, hide, enable, or disable options in a bundle.</w:t>
      </w:r>
    </w:p>
    <w:p w14:paraId="6B1A8E0B" w14:textId="77777777" w:rsidR="00FF5C65" w:rsidRPr="00FF5C65" w:rsidRDefault="00FF5C65" w:rsidP="00FF5C65">
      <w:pPr>
        <w:spacing w:before="100" w:beforeAutospacing="1" w:after="100" w:afterAutospacing="1" w:line="240" w:lineRule="auto"/>
        <w:textAlignment w:val="baseline"/>
        <w:rPr>
          <w:rFonts w:ascii="Arial" w:eastAsia="Times New Roman" w:hAnsi="Arial" w:cs="Arial"/>
          <w:color w:val="333333"/>
          <w:sz w:val="24"/>
          <w:szCs w:val="24"/>
        </w:rPr>
      </w:pPr>
      <w:r w:rsidRPr="00FF5C65">
        <w:rPr>
          <w:rFonts w:ascii="Arial" w:eastAsia="Times New Roman" w:hAnsi="Arial" w:cs="Arial"/>
          <w:color w:val="333333"/>
          <w:sz w:val="24"/>
          <w:szCs w:val="24"/>
        </w:rPr>
        <w:t>Selection rules let you adjust product options in a bundle on your quote. For example, let’s say you sell a reporting software bundle. You can sell training license only after your user buys a software license, both of which are product options in your bundle. In this case, you can create a selection rule that initially hides the Reporting Software Training product option from the bundle. The configurator then shows Reporting Software Training only when the sales rep selects the bundle’s Reporting Software License option.</w:t>
      </w:r>
    </w:p>
    <w:p w14:paraId="74C83F1E" w14:textId="77777777" w:rsidR="00FF5C65" w:rsidRPr="00FF5C65" w:rsidRDefault="00FF5C65" w:rsidP="00FF5C65">
      <w:pPr>
        <w:spacing w:before="100" w:beforeAutospacing="1" w:after="100" w:afterAutospacing="1" w:line="240" w:lineRule="auto"/>
        <w:textAlignment w:val="baseline"/>
        <w:rPr>
          <w:rFonts w:ascii="Arial" w:eastAsia="Times New Roman" w:hAnsi="Arial" w:cs="Arial"/>
          <w:color w:val="333333"/>
          <w:sz w:val="24"/>
          <w:szCs w:val="24"/>
        </w:rPr>
      </w:pPr>
      <w:r w:rsidRPr="00FF5C65">
        <w:rPr>
          <w:rFonts w:ascii="Arial" w:eastAsia="Times New Roman" w:hAnsi="Arial" w:cs="Arial"/>
          <w:color w:val="333333"/>
          <w:sz w:val="24"/>
          <w:szCs w:val="24"/>
        </w:rPr>
        <w:t>Selection rules use configuration rules to specify a bundle to target. The configuration rule’s Product field represents the bundle you’re targeting. You can also set your configuration rule’s product field to a specific bundle so your product rule can target that bundle across multiple quotes.</w:t>
      </w:r>
    </w:p>
    <w:p w14:paraId="412A5D4E" w14:textId="77777777" w:rsidR="00FF5C65" w:rsidRPr="00FF5C65" w:rsidRDefault="00FF5C65" w:rsidP="00FF5C65">
      <w:pPr>
        <w:spacing w:before="100" w:beforeAutospacing="1" w:after="100" w:afterAutospacing="1" w:line="240" w:lineRule="auto"/>
        <w:textAlignment w:val="baseline"/>
        <w:rPr>
          <w:rFonts w:ascii="inherit" w:eastAsia="Times New Roman" w:hAnsi="inherit" w:cs="Arial"/>
          <w:color w:val="333333"/>
          <w:sz w:val="21"/>
          <w:szCs w:val="21"/>
        </w:rPr>
      </w:pPr>
      <w:r w:rsidRPr="00FF5C65">
        <w:rPr>
          <w:rFonts w:ascii="inherit" w:eastAsia="Times New Roman" w:hAnsi="inherit" w:cs="Arial"/>
          <w:color w:val="333333"/>
          <w:sz w:val="21"/>
          <w:szCs w:val="21"/>
        </w:rPr>
        <w:t>Selection rules also use actions alongside error conditions. An action represents the step your selection rule performs when the rule meets its error conditions. When your rule meets its conditions, it checks the action for a product to target. This product is the product option you want to change within the bundle you defined in the configuration rule. The rule then performs the step defined in the action’s Type field. You can select from the following action types:</w:t>
      </w:r>
    </w:p>
    <w:tbl>
      <w:tblPr>
        <w:tblW w:w="0" w:type="auto"/>
        <w:tblCellSpacing w:w="15" w:type="dxa"/>
        <w:tblBorders>
          <w:top w:val="single" w:sz="6" w:space="0" w:color="DDDBDA"/>
          <w:bottom w:val="single" w:sz="6" w:space="0" w:color="DDDBDA"/>
        </w:tblBorders>
        <w:shd w:val="clear" w:color="auto" w:fill="FFFFFF"/>
        <w:tblCellMar>
          <w:left w:w="0" w:type="dxa"/>
          <w:right w:w="0" w:type="dxa"/>
        </w:tblCellMar>
        <w:tblLook w:val="04A0" w:firstRow="1" w:lastRow="0" w:firstColumn="1" w:lastColumn="0" w:noHBand="0" w:noVBand="1"/>
      </w:tblPr>
      <w:tblGrid>
        <w:gridCol w:w="1779"/>
        <w:gridCol w:w="6645"/>
      </w:tblGrid>
      <w:tr w:rsidR="00FF5C65" w:rsidRPr="00FF5C65" w14:paraId="6745D305" w14:textId="77777777" w:rsidTr="00FF5C65">
        <w:trPr>
          <w:tblHeader/>
          <w:tblCellSpacing w:w="15" w:type="dxa"/>
        </w:trPr>
        <w:tc>
          <w:tcPr>
            <w:tcW w:w="0" w:type="auto"/>
            <w:tcBorders>
              <w:top w:val="nil"/>
              <w:left w:val="nil"/>
              <w:bottom w:val="nil"/>
              <w:right w:val="nil"/>
            </w:tcBorders>
            <w:shd w:val="clear" w:color="auto" w:fill="FAFAF9"/>
            <w:vAlign w:val="bottom"/>
            <w:hideMark/>
          </w:tcPr>
          <w:p w14:paraId="114A5979" w14:textId="77777777" w:rsidR="00FF5C65" w:rsidRPr="00FF5C65" w:rsidRDefault="00FF5C65" w:rsidP="00FF5C65">
            <w:pPr>
              <w:spacing w:after="0" w:line="240" w:lineRule="auto"/>
              <w:rPr>
                <w:rFonts w:ascii="inherit" w:eastAsia="Times New Roman" w:hAnsi="inherit" w:cs="Times New Roman"/>
                <w:caps/>
                <w:color w:val="514F4D"/>
                <w:spacing w:val="15"/>
                <w:sz w:val="24"/>
                <w:szCs w:val="24"/>
              </w:rPr>
            </w:pPr>
            <w:r w:rsidRPr="00FF5C65">
              <w:rPr>
                <w:rFonts w:ascii="inherit" w:eastAsia="Times New Roman" w:hAnsi="inherit" w:cs="Times New Roman"/>
                <w:caps/>
                <w:color w:val="514F4D"/>
                <w:spacing w:val="15"/>
                <w:sz w:val="24"/>
                <w:szCs w:val="24"/>
              </w:rPr>
              <w:t>TYPE</w:t>
            </w:r>
          </w:p>
        </w:tc>
        <w:tc>
          <w:tcPr>
            <w:tcW w:w="0" w:type="auto"/>
            <w:tcBorders>
              <w:top w:val="nil"/>
              <w:left w:val="nil"/>
              <w:bottom w:val="nil"/>
              <w:right w:val="nil"/>
            </w:tcBorders>
            <w:shd w:val="clear" w:color="auto" w:fill="FAFAF9"/>
            <w:vAlign w:val="bottom"/>
            <w:hideMark/>
          </w:tcPr>
          <w:p w14:paraId="6C572C27" w14:textId="77777777" w:rsidR="00FF5C65" w:rsidRPr="00FF5C65" w:rsidRDefault="00FF5C65" w:rsidP="00FF5C65">
            <w:pPr>
              <w:spacing w:after="0" w:line="240" w:lineRule="auto"/>
              <w:rPr>
                <w:rFonts w:ascii="inherit" w:eastAsia="Times New Roman" w:hAnsi="inherit" w:cs="Times New Roman"/>
                <w:caps/>
                <w:color w:val="514F4D"/>
                <w:spacing w:val="15"/>
                <w:sz w:val="24"/>
                <w:szCs w:val="24"/>
              </w:rPr>
            </w:pPr>
            <w:r w:rsidRPr="00FF5C65">
              <w:rPr>
                <w:rFonts w:ascii="inherit" w:eastAsia="Times New Roman" w:hAnsi="inherit" w:cs="Times New Roman"/>
                <w:caps/>
                <w:color w:val="514F4D"/>
                <w:spacing w:val="15"/>
                <w:sz w:val="24"/>
                <w:szCs w:val="24"/>
              </w:rPr>
              <w:t>DESCRIPTION</w:t>
            </w:r>
          </w:p>
        </w:tc>
      </w:tr>
      <w:tr w:rsidR="00FF5C65" w:rsidRPr="00FF5C65" w14:paraId="19AA5FB3" w14:textId="77777777" w:rsidTr="00FF5C65">
        <w:trPr>
          <w:tblCellSpacing w:w="15" w:type="dxa"/>
        </w:trPr>
        <w:tc>
          <w:tcPr>
            <w:tcW w:w="0" w:type="auto"/>
            <w:tcBorders>
              <w:top w:val="single" w:sz="6" w:space="0" w:color="DDDBDA"/>
              <w:left w:val="nil"/>
              <w:bottom w:val="nil"/>
              <w:right w:val="nil"/>
            </w:tcBorders>
            <w:shd w:val="clear" w:color="auto" w:fill="FFFFFF"/>
            <w:vAlign w:val="bottom"/>
            <w:hideMark/>
          </w:tcPr>
          <w:p w14:paraId="7CBD5495"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Add</w:t>
            </w:r>
          </w:p>
        </w:tc>
        <w:tc>
          <w:tcPr>
            <w:tcW w:w="0" w:type="auto"/>
            <w:tcBorders>
              <w:top w:val="single" w:sz="6" w:space="0" w:color="DDDBDA"/>
              <w:left w:val="nil"/>
              <w:bottom w:val="nil"/>
              <w:right w:val="nil"/>
            </w:tcBorders>
            <w:shd w:val="clear" w:color="auto" w:fill="FFFFFF"/>
            <w:vAlign w:val="bottom"/>
            <w:hideMark/>
          </w:tcPr>
          <w:p w14:paraId="0662DC4E"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Add the specified option.</w:t>
            </w:r>
          </w:p>
        </w:tc>
      </w:tr>
      <w:tr w:rsidR="00FF5C65" w:rsidRPr="00FF5C65" w14:paraId="287DB5A7" w14:textId="77777777" w:rsidTr="00FF5C65">
        <w:trPr>
          <w:tblCellSpacing w:w="15" w:type="dxa"/>
        </w:trPr>
        <w:tc>
          <w:tcPr>
            <w:tcW w:w="0" w:type="auto"/>
            <w:tcBorders>
              <w:top w:val="single" w:sz="6" w:space="0" w:color="DDDBDA"/>
              <w:left w:val="nil"/>
              <w:bottom w:val="nil"/>
              <w:right w:val="nil"/>
            </w:tcBorders>
            <w:shd w:val="clear" w:color="auto" w:fill="FFFFFF"/>
            <w:vAlign w:val="bottom"/>
            <w:hideMark/>
          </w:tcPr>
          <w:p w14:paraId="382614D1"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Remove</w:t>
            </w:r>
          </w:p>
        </w:tc>
        <w:tc>
          <w:tcPr>
            <w:tcW w:w="0" w:type="auto"/>
            <w:tcBorders>
              <w:top w:val="single" w:sz="6" w:space="0" w:color="DDDBDA"/>
              <w:left w:val="nil"/>
              <w:bottom w:val="nil"/>
              <w:right w:val="nil"/>
            </w:tcBorders>
            <w:shd w:val="clear" w:color="auto" w:fill="FFFFFF"/>
            <w:vAlign w:val="bottom"/>
            <w:hideMark/>
          </w:tcPr>
          <w:p w14:paraId="27F97802"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Deselect the specified option. Not supported for quote-scoped selection rules.</w:t>
            </w:r>
          </w:p>
        </w:tc>
      </w:tr>
      <w:tr w:rsidR="00FF5C65" w:rsidRPr="00FF5C65" w14:paraId="328CF474" w14:textId="77777777" w:rsidTr="00FF5C65">
        <w:trPr>
          <w:tblCellSpacing w:w="15" w:type="dxa"/>
        </w:trPr>
        <w:tc>
          <w:tcPr>
            <w:tcW w:w="0" w:type="auto"/>
            <w:tcBorders>
              <w:top w:val="single" w:sz="6" w:space="0" w:color="DDDBDA"/>
              <w:left w:val="nil"/>
              <w:bottom w:val="nil"/>
              <w:right w:val="nil"/>
            </w:tcBorders>
            <w:shd w:val="clear" w:color="auto" w:fill="FFFFFF"/>
            <w:vAlign w:val="bottom"/>
            <w:hideMark/>
          </w:tcPr>
          <w:p w14:paraId="79AE81BC"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Enable</w:t>
            </w:r>
          </w:p>
        </w:tc>
        <w:tc>
          <w:tcPr>
            <w:tcW w:w="0" w:type="auto"/>
            <w:tcBorders>
              <w:top w:val="single" w:sz="6" w:space="0" w:color="DDDBDA"/>
              <w:left w:val="nil"/>
              <w:bottom w:val="nil"/>
              <w:right w:val="nil"/>
            </w:tcBorders>
            <w:shd w:val="clear" w:color="auto" w:fill="FFFFFF"/>
            <w:vAlign w:val="bottom"/>
            <w:hideMark/>
          </w:tcPr>
          <w:p w14:paraId="36B400BC"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If an option is disabled, this action enables the checkbox so users can select it.</w:t>
            </w:r>
          </w:p>
        </w:tc>
      </w:tr>
      <w:tr w:rsidR="00FF5C65" w:rsidRPr="00FF5C65" w14:paraId="2838C26F" w14:textId="77777777" w:rsidTr="00FF5C65">
        <w:trPr>
          <w:tblCellSpacing w:w="15" w:type="dxa"/>
        </w:trPr>
        <w:tc>
          <w:tcPr>
            <w:tcW w:w="0" w:type="auto"/>
            <w:tcBorders>
              <w:top w:val="single" w:sz="6" w:space="0" w:color="DDDBDA"/>
              <w:left w:val="nil"/>
              <w:bottom w:val="nil"/>
              <w:right w:val="nil"/>
            </w:tcBorders>
            <w:shd w:val="clear" w:color="auto" w:fill="FFFFFF"/>
            <w:vAlign w:val="bottom"/>
            <w:hideMark/>
          </w:tcPr>
          <w:p w14:paraId="648ADCE8"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Disable</w:t>
            </w:r>
          </w:p>
        </w:tc>
        <w:tc>
          <w:tcPr>
            <w:tcW w:w="0" w:type="auto"/>
            <w:tcBorders>
              <w:top w:val="single" w:sz="6" w:space="0" w:color="DDDBDA"/>
              <w:left w:val="nil"/>
              <w:bottom w:val="nil"/>
              <w:right w:val="nil"/>
            </w:tcBorders>
            <w:shd w:val="clear" w:color="auto" w:fill="FFFFFF"/>
            <w:vAlign w:val="bottom"/>
            <w:hideMark/>
          </w:tcPr>
          <w:p w14:paraId="3E499729"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Disable an option so users can’t select it.</w:t>
            </w:r>
          </w:p>
        </w:tc>
      </w:tr>
      <w:tr w:rsidR="00FF5C65" w:rsidRPr="00FF5C65" w14:paraId="4DA2ED36" w14:textId="77777777" w:rsidTr="00FF5C65">
        <w:trPr>
          <w:tblCellSpacing w:w="15" w:type="dxa"/>
        </w:trPr>
        <w:tc>
          <w:tcPr>
            <w:tcW w:w="0" w:type="auto"/>
            <w:tcBorders>
              <w:top w:val="single" w:sz="6" w:space="0" w:color="DDDBDA"/>
              <w:left w:val="nil"/>
              <w:bottom w:val="nil"/>
              <w:right w:val="nil"/>
            </w:tcBorders>
            <w:shd w:val="clear" w:color="auto" w:fill="FFFFFF"/>
            <w:vAlign w:val="bottom"/>
            <w:hideMark/>
          </w:tcPr>
          <w:p w14:paraId="2487DB31"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Enable and Add</w:t>
            </w:r>
          </w:p>
        </w:tc>
        <w:tc>
          <w:tcPr>
            <w:tcW w:w="0" w:type="auto"/>
            <w:tcBorders>
              <w:top w:val="single" w:sz="6" w:space="0" w:color="DDDBDA"/>
              <w:left w:val="nil"/>
              <w:bottom w:val="nil"/>
              <w:right w:val="nil"/>
            </w:tcBorders>
            <w:shd w:val="clear" w:color="auto" w:fill="FFFFFF"/>
            <w:vAlign w:val="bottom"/>
            <w:hideMark/>
          </w:tcPr>
          <w:p w14:paraId="0AF0A97E"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Enable an option and select it.</w:t>
            </w:r>
          </w:p>
        </w:tc>
      </w:tr>
      <w:tr w:rsidR="00FF5C65" w:rsidRPr="00FF5C65" w14:paraId="32BF9BA5" w14:textId="77777777" w:rsidTr="00FF5C65">
        <w:trPr>
          <w:tblCellSpacing w:w="15" w:type="dxa"/>
        </w:trPr>
        <w:tc>
          <w:tcPr>
            <w:tcW w:w="0" w:type="auto"/>
            <w:tcBorders>
              <w:top w:val="single" w:sz="6" w:space="0" w:color="DDDBDA"/>
              <w:left w:val="nil"/>
              <w:bottom w:val="nil"/>
              <w:right w:val="nil"/>
            </w:tcBorders>
            <w:shd w:val="clear" w:color="auto" w:fill="FFFFFF"/>
            <w:vAlign w:val="bottom"/>
            <w:hideMark/>
          </w:tcPr>
          <w:p w14:paraId="7E73116C"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Disable and Remove</w:t>
            </w:r>
          </w:p>
        </w:tc>
        <w:tc>
          <w:tcPr>
            <w:tcW w:w="0" w:type="auto"/>
            <w:tcBorders>
              <w:top w:val="single" w:sz="6" w:space="0" w:color="DDDBDA"/>
              <w:left w:val="nil"/>
              <w:bottom w:val="nil"/>
              <w:right w:val="nil"/>
            </w:tcBorders>
            <w:shd w:val="clear" w:color="auto" w:fill="FFFFFF"/>
            <w:vAlign w:val="bottom"/>
            <w:hideMark/>
          </w:tcPr>
          <w:p w14:paraId="1F705027"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Deselect an option and disable it so users can’t select it.</w:t>
            </w:r>
          </w:p>
        </w:tc>
      </w:tr>
      <w:tr w:rsidR="00FF5C65" w:rsidRPr="00FF5C65" w14:paraId="0A832DE7" w14:textId="77777777" w:rsidTr="00FF5C65">
        <w:trPr>
          <w:tblCellSpacing w:w="15" w:type="dxa"/>
        </w:trPr>
        <w:tc>
          <w:tcPr>
            <w:tcW w:w="0" w:type="auto"/>
            <w:tcBorders>
              <w:top w:val="single" w:sz="6" w:space="0" w:color="DDDBDA"/>
              <w:left w:val="nil"/>
              <w:bottom w:val="nil"/>
              <w:right w:val="nil"/>
            </w:tcBorders>
            <w:shd w:val="clear" w:color="auto" w:fill="FFFFFF"/>
            <w:vAlign w:val="bottom"/>
            <w:hideMark/>
          </w:tcPr>
          <w:p w14:paraId="7BC2DA9C"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Show</w:t>
            </w:r>
          </w:p>
        </w:tc>
        <w:tc>
          <w:tcPr>
            <w:tcW w:w="0" w:type="auto"/>
            <w:tcBorders>
              <w:top w:val="single" w:sz="6" w:space="0" w:color="DDDBDA"/>
              <w:left w:val="nil"/>
              <w:bottom w:val="nil"/>
              <w:right w:val="nil"/>
            </w:tcBorders>
            <w:shd w:val="clear" w:color="auto" w:fill="FFFFFF"/>
            <w:vAlign w:val="bottom"/>
            <w:hideMark/>
          </w:tcPr>
          <w:p w14:paraId="7D49926C"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Show a hidden option.</w:t>
            </w:r>
          </w:p>
        </w:tc>
      </w:tr>
      <w:tr w:rsidR="00FF5C65" w:rsidRPr="00FF5C65" w14:paraId="194B0574" w14:textId="77777777" w:rsidTr="00FF5C65">
        <w:trPr>
          <w:tblCellSpacing w:w="15" w:type="dxa"/>
        </w:trPr>
        <w:tc>
          <w:tcPr>
            <w:tcW w:w="0" w:type="auto"/>
            <w:tcBorders>
              <w:top w:val="single" w:sz="6" w:space="0" w:color="DDDBDA"/>
              <w:left w:val="nil"/>
              <w:bottom w:val="nil"/>
              <w:right w:val="nil"/>
            </w:tcBorders>
            <w:shd w:val="clear" w:color="auto" w:fill="FFFFFF"/>
            <w:vAlign w:val="bottom"/>
            <w:hideMark/>
          </w:tcPr>
          <w:p w14:paraId="6584A359"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Hide</w:t>
            </w:r>
          </w:p>
        </w:tc>
        <w:tc>
          <w:tcPr>
            <w:tcW w:w="0" w:type="auto"/>
            <w:tcBorders>
              <w:top w:val="single" w:sz="6" w:space="0" w:color="DDDBDA"/>
              <w:left w:val="nil"/>
              <w:bottom w:val="nil"/>
              <w:right w:val="nil"/>
            </w:tcBorders>
            <w:shd w:val="clear" w:color="auto" w:fill="FFFFFF"/>
            <w:vAlign w:val="bottom"/>
            <w:hideMark/>
          </w:tcPr>
          <w:p w14:paraId="2C7B8285"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Prevent an option from showing.</w:t>
            </w:r>
          </w:p>
        </w:tc>
      </w:tr>
      <w:tr w:rsidR="00FF5C65" w:rsidRPr="00FF5C65" w14:paraId="26694F61" w14:textId="77777777" w:rsidTr="00FF5C65">
        <w:trPr>
          <w:tblCellSpacing w:w="15" w:type="dxa"/>
        </w:trPr>
        <w:tc>
          <w:tcPr>
            <w:tcW w:w="0" w:type="auto"/>
            <w:tcBorders>
              <w:top w:val="single" w:sz="6" w:space="0" w:color="DDDBDA"/>
              <w:left w:val="nil"/>
              <w:bottom w:val="nil"/>
              <w:right w:val="nil"/>
            </w:tcBorders>
            <w:shd w:val="clear" w:color="auto" w:fill="FFFFFF"/>
            <w:vAlign w:val="bottom"/>
            <w:hideMark/>
          </w:tcPr>
          <w:p w14:paraId="6E1D0483"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Show and Add</w:t>
            </w:r>
          </w:p>
        </w:tc>
        <w:tc>
          <w:tcPr>
            <w:tcW w:w="0" w:type="auto"/>
            <w:tcBorders>
              <w:top w:val="single" w:sz="6" w:space="0" w:color="DDDBDA"/>
              <w:left w:val="nil"/>
              <w:bottom w:val="nil"/>
              <w:right w:val="nil"/>
            </w:tcBorders>
            <w:shd w:val="clear" w:color="auto" w:fill="FFFFFF"/>
            <w:vAlign w:val="bottom"/>
            <w:hideMark/>
          </w:tcPr>
          <w:p w14:paraId="6A42F978"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Show the option and select it.</w:t>
            </w:r>
          </w:p>
        </w:tc>
      </w:tr>
      <w:tr w:rsidR="00FF5C65" w:rsidRPr="00FF5C65" w14:paraId="3F8C1527" w14:textId="77777777" w:rsidTr="00FF5C65">
        <w:trPr>
          <w:tblCellSpacing w:w="15" w:type="dxa"/>
        </w:trPr>
        <w:tc>
          <w:tcPr>
            <w:tcW w:w="0" w:type="auto"/>
            <w:tcBorders>
              <w:top w:val="single" w:sz="6" w:space="0" w:color="DDDBDA"/>
              <w:left w:val="nil"/>
              <w:bottom w:val="single" w:sz="6" w:space="0" w:color="DDDBDA"/>
              <w:right w:val="nil"/>
            </w:tcBorders>
            <w:shd w:val="clear" w:color="auto" w:fill="FFFFFF"/>
            <w:vAlign w:val="bottom"/>
            <w:hideMark/>
          </w:tcPr>
          <w:p w14:paraId="31170D76"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Remove and Hide</w:t>
            </w:r>
          </w:p>
        </w:tc>
        <w:tc>
          <w:tcPr>
            <w:tcW w:w="0" w:type="auto"/>
            <w:tcBorders>
              <w:top w:val="single" w:sz="6" w:space="0" w:color="DDDBDA"/>
              <w:left w:val="nil"/>
              <w:bottom w:val="single" w:sz="6" w:space="0" w:color="DDDBDA"/>
              <w:right w:val="nil"/>
            </w:tcBorders>
            <w:shd w:val="clear" w:color="auto" w:fill="FFFFFF"/>
            <w:vAlign w:val="bottom"/>
            <w:hideMark/>
          </w:tcPr>
          <w:p w14:paraId="5C6C3DCF"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Deselect an option and hide it from view.</w:t>
            </w:r>
          </w:p>
        </w:tc>
      </w:tr>
      <w:tr w:rsidR="00FF5C65" w:rsidRPr="00FF5C65" w14:paraId="0BF85572" w14:textId="77777777" w:rsidTr="00FF5C65">
        <w:trPr>
          <w:tblCellSpacing w:w="15" w:type="dxa"/>
        </w:trPr>
        <w:tc>
          <w:tcPr>
            <w:tcW w:w="0" w:type="auto"/>
            <w:tcBorders>
              <w:top w:val="single" w:sz="6" w:space="0" w:color="DDDBDA"/>
              <w:left w:val="nil"/>
              <w:bottom w:val="nil"/>
              <w:right w:val="nil"/>
            </w:tcBorders>
            <w:shd w:val="clear" w:color="auto" w:fill="FFFFFF"/>
            <w:vAlign w:val="bottom"/>
          </w:tcPr>
          <w:p w14:paraId="69EBBD85" w14:textId="77777777" w:rsidR="00FF5C65" w:rsidRPr="00FF5C65" w:rsidRDefault="00FF5C65" w:rsidP="00FF5C65">
            <w:pPr>
              <w:spacing w:after="0" w:line="240" w:lineRule="auto"/>
              <w:rPr>
                <w:rFonts w:ascii="inherit" w:eastAsia="Times New Roman" w:hAnsi="inherit" w:cs="Times New Roman"/>
                <w:sz w:val="20"/>
                <w:szCs w:val="20"/>
              </w:rPr>
            </w:pPr>
          </w:p>
        </w:tc>
        <w:tc>
          <w:tcPr>
            <w:tcW w:w="0" w:type="auto"/>
            <w:tcBorders>
              <w:top w:val="single" w:sz="6" w:space="0" w:color="DDDBDA"/>
              <w:left w:val="nil"/>
              <w:bottom w:val="nil"/>
              <w:right w:val="nil"/>
            </w:tcBorders>
            <w:shd w:val="clear" w:color="auto" w:fill="FFFFFF"/>
            <w:vAlign w:val="bottom"/>
          </w:tcPr>
          <w:p w14:paraId="13D275A7" w14:textId="77777777" w:rsidR="00FF5C65" w:rsidRPr="00FF5C65" w:rsidRDefault="00FF5C65" w:rsidP="00FF5C65">
            <w:pPr>
              <w:spacing w:after="0" w:line="240" w:lineRule="auto"/>
              <w:rPr>
                <w:rFonts w:ascii="inherit" w:eastAsia="Times New Roman" w:hAnsi="inherit" w:cs="Times New Roman"/>
                <w:sz w:val="20"/>
                <w:szCs w:val="20"/>
              </w:rPr>
            </w:pPr>
          </w:p>
        </w:tc>
      </w:tr>
    </w:tbl>
    <w:p w14:paraId="7C1442AB" w14:textId="7BDAEC21" w:rsidR="00FF5C65" w:rsidRPr="00FF5C65" w:rsidRDefault="00FF5C65" w:rsidP="00FF5C65">
      <w:pPr>
        <w:shd w:val="clear" w:color="auto" w:fill="F3F2F2"/>
        <w:spacing w:after="0" w:line="240" w:lineRule="auto"/>
        <w:textAlignment w:val="baseline"/>
        <w:rPr>
          <w:rFonts w:ascii="Arial" w:eastAsia="Times New Roman" w:hAnsi="Arial" w:cs="Arial"/>
          <w:color w:val="333333"/>
          <w:sz w:val="21"/>
          <w:szCs w:val="21"/>
        </w:rPr>
      </w:pPr>
      <w:r w:rsidRPr="00FF5C65">
        <w:rPr>
          <w:rFonts w:ascii="inherit" w:eastAsia="Times New Roman" w:hAnsi="inherit" w:cs="Arial"/>
          <w:noProof/>
          <w:color w:val="333333"/>
          <w:sz w:val="21"/>
          <w:szCs w:val="21"/>
          <w:bdr w:val="none" w:sz="0" w:space="0" w:color="auto" w:frame="1"/>
        </w:rPr>
        <w:drawing>
          <wp:inline distT="0" distB="0" distL="0" distR="0" wp14:anchorId="65145165" wp14:editId="3D0820B1">
            <wp:extent cx="304800" cy="304800"/>
            <wp:effectExtent l="0" t="0" r="0" b="0"/>
            <wp:docPr id="2" name="Picture 2"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04EA198" w14:textId="19F59E6C" w:rsidR="00FF5C65" w:rsidRDefault="00FF5C65" w:rsidP="00FF5C65">
      <w:pPr>
        <w:shd w:val="clear" w:color="auto" w:fill="F3F2F2"/>
        <w:spacing w:after="0" w:line="240" w:lineRule="auto"/>
        <w:textAlignment w:val="baseline"/>
        <w:rPr>
          <w:rFonts w:ascii="inherit" w:eastAsia="Times New Roman" w:hAnsi="inherit" w:cs="Arial"/>
          <w:color w:val="333333"/>
          <w:sz w:val="21"/>
          <w:szCs w:val="21"/>
        </w:rPr>
      </w:pPr>
      <w:r w:rsidRPr="00FF5C65">
        <w:rPr>
          <w:rFonts w:ascii="inherit" w:eastAsia="Times New Roman" w:hAnsi="inherit" w:cs="Arial"/>
          <w:caps/>
          <w:color w:val="1E1E1E"/>
          <w:spacing w:val="15"/>
          <w:sz w:val="21"/>
          <w:szCs w:val="21"/>
          <w:bdr w:val="none" w:sz="0" w:space="0" w:color="auto" w:frame="1"/>
        </w:rPr>
        <w:t>EXAMPLE</w:t>
      </w:r>
      <w:r w:rsidRPr="00FF5C65">
        <w:rPr>
          <w:rFonts w:ascii="inherit" w:eastAsia="Times New Roman" w:hAnsi="inherit" w:cs="Arial"/>
          <w:color w:val="333333"/>
          <w:sz w:val="21"/>
          <w:szCs w:val="21"/>
        </w:rPr>
        <w:t> Let’s jump back to the example at the beginning of this topic. Before making your rule, create a summary variable to count the quantity of Software Reporting License product option. Then, use that variable in your rule’s error condition.</w:t>
      </w:r>
    </w:p>
    <w:p w14:paraId="7ECB6089" w14:textId="77777777" w:rsidR="00FF5C65" w:rsidRPr="00FF5C65" w:rsidRDefault="00FF5C65" w:rsidP="00FF5C65">
      <w:pPr>
        <w:shd w:val="clear" w:color="auto" w:fill="F3F2F2"/>
        <w:spacing w:after="0" w:line="240" w:lineRule="auto"/>
        <w:textAlignment w:val="baseline"/>
        <w:rPr>
          <w:rFonts w:ascii="inherit" w:eastAsia="Times New Roman" w:hAnsi="inherit" w:cs="Arial"/>
          <w:color w:val="333333"/>
          <w:sz w:val="21"/>
          <w:szCs w:val="21"/>
        </w:rPr>
      </w:pPr>
    </w:p>
    <w:tbl>
      <w:tblPr>
        <w:tblW w:w="0" w:type="auto"/>
        <w:tblCellSpacing w:w="15" w:type="dxa"/>
        <w:tblBorders>
          <w:top w:val="single" w:sz="6" w:space="0" w:color="DDDBDA"/>
          <w:bottom w:val="single" w:sz="6" w:space="0" w:color="DDDBDA"/>
        </w:tblBorders>
        <w:shd w:val="clear" w:color="auto" w:fill="FFFFFF"/>
        <w:tblCellMar>
          <w:left w:w="0" w:type="dxa"/>
          <w:right w:w="0" w:type="dxa"/>
        </w:tblCellMar>
        <w:tblLook w:val="04A0" w:firstRow="1" w:lastRow="0" w:firstColumn="1" w:lastColumn="0" w:noHBand="0" w:noVBand="1"/>
      </w:tblPr>
      <w:tblGrid>
        <w:gridCol w:w="3803"/>
        <w:gridCol w:w="4317"/>
      </w:tblGrid>
      <w:tr w:rsidR="00FF5C65" w:rsidRPr="00FF5C65" w14:paraId="069A7AE5" w14:textId="77777777" w:rsidTr="00FF5C65">
        <w:trPr>
          <w:tblHeader/>
          <w:tblCellSpacing w:w="15" w:type="dxa"/>
        </w:trPr>
        <w:tc>
          <w:tcPr>
            <w:tcW w:w="0" w:type="auto"/>
            <w:tcBorders>
              <w:top w:val="nil"/>
              <w:left w:val="nil"/>
              <w:bottom w:val="nil"/>
              <w:right w:val="nil"/>
            </w:tcBorders>
            <w:shd w:val="clear" w:color="auto" w:fill="FAFAF9"/>
            <w:vAlign w:val="bottom"/>
            <w:hideMark/>
          </w:tcPr>
          <w:p w14:paraId="539A0747" w14:textId="77777777" w:rsidR="00FF5C65" w:rsidRPr="00FF5C65" w:rsidRDefault="00FF5C65" w:rsidP="00FF5C65">
            <w:pPr>
              <w:spacing w:after="0" w:line="240" w:lineRule="auto"/>
              <w:rPr>
                <w:rFonts w:ascii="inherit" w:eastAsia="Times New Roman" w:hAnsi="inherit" w:cs="Times New Roman"/>
                <w:caps/>
                <w:color w:val="514F4D"/>
                <w:spacing w:val="15"/>
                <w:sz w:val="24"/>
                <w:szCs w:val="24"/>
              </w:rPr>
            </w:pPr>
            <w:r w:rsidRPr="00FF5C65">
              <w:rPr>
                <w:rFonts w:ascii="inherit" w:eastAsia="Times New Roman" w:hAnsi="inherit" w:cs="Times New Roman"/>
                <w:caps/>
                <w:color w:val="514F4D"/>
                <w:spacing w:val="15"/>
                <w:sz w:val="24"/>
                <w:szCs w:val="24"/>
              </w:rPr>
              <w:t>SELECTION RULE COMPONENTS</w:t>
            </w:r>
          </w:p>
        </w:tc>
        <w:tc>
          <w:tcPr>
            <w:tcW w:w="0" w:type="auto"/>
            <w:tcBorders>
              <w:top w:val="nil"/>
              <w:left w:val="nil"/>
              <w:bottom w:val="nil"/>
              <w:right w:val="nil"/>
            </w:tcBorders>
            <w:shd w:val="clear" w:color="auto" w:fill="FAFAF9"/>
            <w:vAlign w:val="bottom"/>
            <w:hideMark/>
          </w:tcPr>
          <w:p w14:paraId="57161E6F" w14:textId="77777777" w:rsidR="00FF5C65" w:rsidRPr="00FF5C65" w:rsidRDefault="00FF5C65" w:rsidP="00FF5C65">
            <w:pPr>
              <w:spacing w:after="0" w:line="240" w:lineRule="auto"/>
              <w:rPr>
                <w:rFonts w:ascii="inherit" w:eastAsia="Times New Roman" w:hAnsi="inherit" w:cs="Times New Roman"/>
                <w:caps/>
                <w:color w:val="514F4D"/>
                <w:spacing w:val="15"/>
                <w:sz w:val="24"/>
                <w:szCs w:val="24"/>
              </w:rPr>
            </w:pPr>
            <w:r w:rsidRPr="00FF5C65">
              <w:rPr>
                <w:rFonts w:ascii="inherit" w:eastAsia="Times New Roman" w:hAnsi="inherit" w:cs="Times New Roman"/>
                <w:caps/>
                <w:color w:val="514F4D"/>
                <w:spacing w:val="15"/>
                <w:sz w:val="24"/>
                <w:szCs w:val="24"/>
              </w:rPr>
              <w:t>FIELD VALUES</w:t>
            </w:r>
          </w:p>
        </w:tc>
      </w:tr>
      <w:tr w:rsidR="00FF5C65" w:rsidRPr="00FF5C65" w14:paraId="6486C198" w14:textId="77777777" w:rsidTr="00FF5C65">
        <w:trPr>
          <w:tblCellSpacing w:w="15" w:type="dxa"/>
        </w:trPr>
        <w:tc>
          <w:tcPr>
            <w:tcW w:w="0" w:type="auto"/>
            <w:tcBorders>
              <w:top w:val="single" w:sz="6" w:space="0" w:color="DDDBDA"/>
              <w:left w:val="nil"/>
              <w:bottom w:val="nil"/>
              <w:right w:val="nil"/>
            </w:tcBorders>
            <w:shd w:val="clear" w:color="auto" w:fill="FFFFFF"/>
            <w:vAlign w:val="bottom"/>
            <w:hideMark/>
          </w:tcPr>
          <w:p w14:paraId="6F694C40"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Product Rule</w:t>
            </w:r>
          </w:p>
        </w:tc>
        <w:tc>
          <w:tcPr>
            <w:tcW w:w="0" w:type="auto"/>
            <w:tcBorders>
              <w:top w:val="single" w:sz="6" w:space="0" w:color="DDDBDA"/>
              <w:left w:val="nil"/>
              <w:bottom w:val="nil"/>
              <w:right w:val="nil"/>
            </w:tcBorders>
            <w:shd w:val="clear" w:color="auto" w:fill="FFFFFF"/>
            <w:vAlign w:val="bottom"/>
            <w:hideMark/>
          </w:tcPr>
          <w:p w14:paraId="359F21C5" w14:textId="77777777" w:rsidR="00FF5C65" w:rsidRPr="00FF5C65" w:rsidRDefault="00FF5C65" w:rsidP="00FF5C65">
            <w:pPr>
              <w:numPr>
                <w:ilvl w:val="0"/>
                <w:numId w:val="1"/>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Name: Show Reporting Software Training</w:t>
            </w:r>
          </w:p>
          <w:p w14:paraId="34DF5969" w14:textId="77777777" w:rsidR="00FF5C65" w:rsidRPr="00FF5C65" w:rsidRDefault="00FF5C65" w:rsidP="00FF5C65">
            <w:pPr>
              <w:numPr>
                <w:ilvl w:val="0"/>
                <w:numId w:val="1"/>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Type: Selection</w:t>
            </w:r>
          </w:p>
          <w:p w14:paraId="7775D8A0" w14:textId="77777777" w:rsidR="00FF5C65" w:rsidRPr="00FF5C65" w:rsidRDefault="00FF5C65" w:rsidP="00FF5C65">
            <w:pPr>
              <w:numPr>
                <w:ilvl w:val="0"/>
                <w:numId w:val="1"/>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Condition Met: All</w:t>
            </w:r>
          </w:p>
          <w:p w14:paraId="7F0456E6" w14:textId="77777777" w:rsidR="00FF5C65" w:rsidRPr="00FF5C65" w:rsidRDefault="00FF5C65" w:rsidP="00FF5C65">
            <w:pPr>
              <w:numPr>
                <w:ilvl w:val="0"/>
                <w:numId w:val="1"/>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lastRenderedPageBreak/>
              <w:t>Scope: Product</w:t>
            </w:r>
          </w:p>
        </w:tc>
      </w:tr>
      <w:tr w:rsidR="00FF5C65" w:rsidRPr="00FF5C65" w14:paraId="35A74381" w14:textId="77777777" w:rsidTr="00FF5C65">
        <w:trPr>
          <w:tblCellSpacing w:w="15" w:type="dxa"/>
        </w:trPr>
        <w:tc>
          <w:tcPr>
            <w:tcW w:w="0" w:type="auto"/>
            <w:tcBorders>
              <w:top w:val="single" w:sz="6" w:space="0" w:color="DDDBDA"/>
              <w:left w:val="nil"/>
              <w:bottom w:val="nil"/>
              <w:right w:val="nil"/>
            </w:tcBorders>
            <w:shd w:val="clear" w:color="auto" w:fill="FFFFFF"/>
            <w:vAlign w:val="bottom"/>
            <w:hideMark/>
          </w:tcPr>
          <w:p w14:paraId="20BDD0CB"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lastRenderedPageBreak/>
              <w:t>Error Condition</w:t>
            </w:r>
          </w:p>
        </w:tc>
        <w:tc>
          <w:tcPr>
            <w:tcW w:w="0" w:type="auto"/>
            <w:tcBorders>
              <w:top w:val="single" w:sz="6" w:space="0" w:color="DDDBDA"/>
              <w:left w:val="nil"/>
              <w:bottom w:val="nil"/>
              <w:right w:val="nil"/>
            </w:tcBorders>
            <w:shd w:val="clear" w:color="auto" w:fill="FFFFFF"/>
            <w:vAlign w:val="bottom"/>
            <w:hideMark/>
          </w:tcPr>
          <w:p w14:paraId="2CFFB6CB" w14:textId="77777777" w:rsidR="00FF5C65" w:rsidRPr="00FF5C65" w:rsidRDefault="00FF5C65" w:rsidP="00FF5C65">
            <w:pPr>
              <w:numPr>
                <w:ilvl w:val="0"/>
                <w:numId w:val="2"/>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Tested Variable: Reporting License Count</w:t>
            </w:r>
          </w:p>
          <w:p w14:paraId="69144251" w14:textId="77777777" w:rsidR="00FF5C65" w:rsidRPr="00FF5C65" w:rsidRDefault="00FF5C65" w:rsidP="00FF5C65">
            <w:pPr>
              <w:numPr>
                <w:ilvl w:val="0"/>
                <w:numId w:val="2"/>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Operator: Greater or Equals</w:t>
            </w:r>
          </w:p>
          <w:p w14:paraId="4940FC96" w14:textId="77777777" w:rsidR="00FF5C65" w:rsidRPr="00FF5C65" w:rsidRDefault="00FF5C65" w:rsidP="00FF5C65">
            <w:pPr>
              <w:numPr>
                <w:ilvl w:val="0"/>
                <w:numId w:val="2"/>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Filter Type: Value</w:t>
            </w:r>
          </w:p>
          <w:p w14:paraId="5D26D431" w14:textId="77777777" w:rsidR="00FF5C65" w:rsidRPr="00FF5C65" w:rsidRDefault="00FF5C65" w:rsidP="00FF5C65">
            <w:pPr>
              <w:numPr>
                <w:ilvl w:val="0"/>
                <w:numId w:val="2"/>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Filter Value: 1</w:t>
            </w:r>
          </w:p>
        </w:tc>
      </w:tr>
      <w:tr w:rsidR="00FF5C65" w:rsidRPr="00FF5C65" w14:paraId="1C783B4F" w14:textId="77777777" w:rsidTr="00FF5C65">
        <w:trPr>
          <w:tblCellSpacing w:w="15" w:type="dxa"/>
        </w:trPr>
        <w:tc>
          <w:tcPr>
            <w:tcW w:w="0" w:type="auto"/>
            <w:tcBorders>
              <w:top w:val="single" w:sz="6" w:space="0" w:color="DDDBDA"/>
              <w:left w:val="nil"/>
              <w:bottom w:val="nil"/>
              <w:right w:val="nil"/>
            </w:tcBorders>
            <w:shd w:val="clear" w:color="auto" w:fill="FFFFFF"/>
            <w:vAlign w:val="bottom"/>
            <w:hideMark/>
          </w:tcPr>
          <w:p w14:paraId="6CD56E53"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Product Action</w:t>
            </w:r>
          </w:p>
        </w:tc>
        <w:tc>
          <w:tcPr>
            <w:tcW w:w="0" w:type="auto"/>
            <w:tcBorders>
              <w:top w:val="single" w:sz="6" w:space="0" w:color="DDDBDA"/>
              <w:left w:val="nil"/>
              <w:bottom w:val="nil"/>
              <w:right w:val="nil"/>
            </w:tcBorders>
            <w:shd w:val="clear" w:color="auto" w:fill="FFFFFF"/>
            <w:vAlign w:val="bottom"/>
            <w:hideMark/>
          </w:tcPr>
          <w:p w14:paraId="52F64469" w14:textId="77777777" w:rsidR="00FF5C65" w:rsidRPr="00FF5C65" w:rsidRDefault="00FF5C65" w:rsidP="00FF5C65">
            <w:pPr>
              <w:numPr>
                <w:ilvl w:val="0"/>
                <w:numId w:val="3"/>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Type: Show</w:t>
            </w:r>
          </w:p>
          <w:p w14:paraId="4CAB5D77" w14:textId="77777777" w:rsidR="00FF5C65" w:rsidRPr="00FF5C65" w:rsidRDefault="00FF5C65" w:rsidP="00FF5C65">
            <w:pPr>
              <w:numPr>
                <w:ilvl w:val="0"/>
                <w:numId w:val="3"/>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Product: Reporting Software Training</w:t>
            </w:r>
          </w:p>
          <w:p w14:paraId="652D7898" w14:textId="77777777" w:rsidR="00FF5C65" w:rsidRPr="00FF5C65" w:rsidRDefault="00FF5C65" w:rsidP="00FF5C65">
            <w:pPr>
              <w:numPr>
                <w:ilvl w:val="0"/>
                <w:numId w:val="3"/>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Required: True</w:t>
            </w:r>
          </w:p>
        </w:tc>
      </w:tr>
      <w:tr w:rsidR="00FF5C65" w:rsidRPr="00FF5C65" w14:paraId="15A92A04" w14:textId="77777777" w:rsidTr="00FF5C65">
        <w:trPr>
          <w:tblCellSpacing w:w="15" w:type="dxa"/>
        </w:trPr>
        <w:tc>
          <w:tcPr>
            <w:tcW w:w="0" w:type="auto"/>
            <w:tcBorders>
              <w:top w:val="single" w:sz="6" w:space="0" w:color="DDDBDA"/>
              <w:left w:val="nil"/>
              <w:bottom w:val="nil"/>
              <w:right w:val="nil"/>
            </w:tcBorders>
            <w:shd w:val="clear" w:color="auto" w:fill="FFFFFF"/>
            <w:vAlign w:val="bottom"/>
            <w:hideMark/>
          </w:tcPr>
          <w:p w14:paraId="4B88023E"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Configuration Rule</w:t>
            </w:r>
          </w:p>
        </w:tc>
        <w:tc>
          <w:tcPr>
            <w:tcW w:w="0" w:type="auto"/>
            <w:tcBorders>
              <w:top w:val="single" w:sz="6" w:space="0" w:color="DDDBDA"/>
              <w:left w:val="nil"/>
              <w:bottom w:val="nil"/>
              <w:right w:val="nil"/>
            </w:tcBorders>
            <w:shd w:val="clear" w:color="auto" w:fill="FFFFFF"/>
            <w:vAlign w:val="bottom"/>
            <w:hideMark/>
          </w:tcPr>
          <w:p w14:paraId="3BCAD55F" w14:textId="77777777" w:rsidR="00FF5C65" w:rsidRPr="00FF5C65" w:rsidRDefault="00FF5C65" w:rsidP="00FF5C65">
            <w:pPr>
              <w:numPr>
                <w:ilvl w:val="0"/>
                <w:numId w:val="4"/>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Product: Software Options</w:t>
            </w:r>
          </w:p>
          <w:p w14:paraId="6F6876F9" w14:textId="77777777" w:rsidR="00FF5C65" w:rsidRPr="00FF5C65" w:rsidRDefault="00FF5C65" w:rsidP="00FF5C65">
            <w:pPr>
              <w:numPr>
                <w:ilvl w:val="0"/>
                <w:numId w:val="4"/>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Active: True</w:t>
            </w:r>
          </w:p>
        </w:tc>
      </w:tr>
    </w:tbl>
    <w:p w14:paraId="15BDA32A" w14:textId="16AD079E" w:rsidR="00FF5C65" w:rsidRPr="00FF5C65" w:rsidRDefault="00FF5C65" w:rsidP="00FF5C65">
      <w:pPr>
        <w:shd w:val="clear" w:color="auto" w:fill="F3F2F2"/>
        <w:spacing w:after="0" w:line="240" w:lineRule="auto"/>
        <w:textAlignment w:val="baseline"/>
        <w:rPr>
          <w:rFonts w:ascii="Arial" w:eastAsia="Times New Roman" w:hAnsi="Arial" w:cs="Arial"/>
          <w:color w:val="333333"/>
          <w:sz w:val="21"/>
          <w:szCs w:val="21"/>
        </w:rPr>
      </w:pPr>
      <w:r w:rsidRPr="00FF5C65">
        <w:rPr>
          <w:rFonts w:ascii="inherit" w:eastAsia="Times New Roman" w:hAnsi="inherit" w:cs="Arial"/>
          <w:noProof/>
          <w:color w:val="333333"/>
          <w:sz w:val="21"/>
          <w:szCs w:val="21"/>
          <w:bdr w:val="none" w:sz="0" w:space="0" w:color="auto" w:frame="1"/>
        </w:rPr>
        <w:drawing>
          <wp:inline distT="0" distB="0" distL="0" distR="0" wp14:anchorId="578381E2" wp14:editId="3B9D254E">
            <wp:extent cx="304800" cy="304800"/>
            <wp:effectExtent l="0" t="0" r="0" b="0"/>
            <wp:docPr id="1" name="Picture 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7292F37" w14:textId="77777777" w:rsidR="00FF5C65" w:rsidRPr="00FF5C65" w:rsidRDefault="00FF5C65" w:rsidP="00FF5C65">
      <w:pPr>
        <w:shd w:val="clear" w:color="auto" w:fill="F3F2F2"/>
        <w:spacing w:after="0" w:line="240" w:lineRule="auto"/>
        <w:textAlignment w:val="baseline"/>
        <w:rPr>
          <w:rFonts w:ascii="inherit" w:eastAsia="Times New Roman" w:hAnsi="inherit" w:cs="Arial"/>
          <w:color w:val="333333"/>
          <w:sz w:val="21"/>
          <w:szCs w:val="21"/>
        </w:rPr>
      </w:pPr>
      <w:r w:rsidRPr="00FF5C65">
        <w:rPr>
          <w:rFonts w:ascii="inherit" w:eastAsia="Times New Roman" w:hAnsi="inherit" w:cs="Arial"/>
          <w:caps/>
          <w:color w:val="1E1E1E"/>
          <w:spacing w:val="15"/>
          <w:sz w:val="21"/>
          <w:szCs w:val="21"/>
          <w:bdr w:val="none" w:sz="0" w:space="0" w:color="auto" w:frame="1"/>
        </w:rPr>
        <w:t>EXAMPLE</w:t>
      </w:r>
      <w:r w:rsidRPr="00FF5C65">
        <w:rPr>
          <w:rFonts w:ascii="inherit" w:eastAsia="Times New Roman" w:hAnsi="inherit" w:cs="Arial"/>
          <w:color w:val="333333"/>
          <w:sz w:val="21"/>
          <w:szCs w:val="21"/>
        </w:rPr>
        <w:t> Your computer design company has a quote with two quote line groups: one for a red monitor package and one for a silver monitor package. You control these package types with a custom Color field on the quote line group. Users who buy either package can add a monitor bundle, which contains a product option for the monitor stand. You want a product rule that adds a support stand for every monitor added to the red package:</w:t>
      </w:r>
    </w:p>
    <w:tbl>
      <w:tblPr>
        <w:tblW w:w="0" w:type="auto"/>
        <w:tblCellSpacing w:w="15" w:type="dxa"/>
        <w:tblBorders>
          <w:top w:val="single" w:sz="6" w:space="0" w:color="DDDBDA"/>
          <w:bottom w:val="single" w:sz="6" w:space="0" w:color="DDDBDA"/>
        </w:tblBorders>
        <w:shd w:val="clear" w:color="auto" w:fill="FFFFFF"/>
        <w:tblCellMar>
          <w:left w:w="0" w:type="dxa"/>
          <w:right w:w="0" w:type="dxa"/>
        </w:tblCellMar>
        <w:tblLook w:val="04A0" w:firstRow="1" w:lastRow="0" w:firstColumn="1" w:lastColumn="0" w:noHBand="0" w:noVBand="1"/>
      </w:tblPr>
      <w:tblGrid>
        <w:gridCol w:w="3803"/>
        <w:gridCol w:w="5049"/>
      </w:tblGrid>
      <w:tr w:rsidR="00FF5C65" w:rsidRPr="00FF5C65" w14:paraId="46FAE6C8" w14:textId="77777777" w:rsidTr="00FF5C65">
        <w:trPr>
          <w:tblHeader/>
          <w:tblCellSpacing w:w="15" w:type="dxa"/>
        </w:trPr>
        <w:tc>
          <w:tcPr>
            <w:tcW w:w="0" w:type="auto"/>
            <w:tcBorders>
              <w:top w:val="nil"/>
              <w:left w:val="nil"/>
              <w:bottom w:val="nil"/>
              <w:right w:val="nil"/>
            </w:tcBorders>
            <w:shd w:val="clear" w:color="auto" w:fill="FAFAF9"/>
            <w:vAlign w:val="bottom"/>
            <w:hideMark/>
          </w:tcPr>
          <w:p w14:paraId="72052A38" w14:textId="77777777" w:rsidR="00FF5C65" w:rsidRPr="00FF5C65" w:rsidRDefault="00FF5C65" w:rsidP="00FF5C65">
            <w:pPr>
              <w:spacing w:after="0" w:line="240" w:lineRule="auto"/>
              <w:rPr>
                <w:rFonts w:ascii="inherit" w:eastAsia="Times New Roman" w:hAnsi="inherit" w:cs="Times New Roman"/>
                <w:caps/>
                <w:color w:val="514F4D"/>
                <w:spacing w:val="15"/>
                <w:sz w:val="24"/>
                <w:szCs w:val="24"/>
              </w:rPr>
            </w:pPr>
            <w:r w:rsidRPr="00FF5C65">
              <w:rPr>
                <w:rFonts w:ascii="inherit" w:eastAsia="Times New Roman" w:hAnsi="inherit" w:cs="Times New Roman"/>
                <w:caps/>
                <w:color w:val="514F4D"/>
                <w:spacing w:val="15"/>
                <w:sz w:val="24"/>
                <w:szCs w:val="24"/>
              </w:rPr>
              <w:t>SELECTION RULE COMPONENTS</w:t>
            </w:r>
          </w:p>
        </w:tc>
        <w:tc>
          <w:tcPr>
            <w:tcW w:w="0" w:type="auto"/>
            <w:tcBorders>
              <w:top w:val="nil"/>
              <w:left w:val="nil"/>
              <w:bottom w:val="nil"/>
              <w:right w:val="nil"/>
            </w:tcBorders>
            <w:shd w:val="clear" w:color="auto" w:fill="FAFAF9"/>
            <w:vAlign w:val="bottom"/>
            <w:hideMark/>
          </w:tcPr>
          <w:p w14:paraId="4B318CFF" w14:textId="77777777" w:rsidR="00FF5C65" w:rsidRPr="00FF5C65" w:rsidRDefault="00FF5C65" w:rsidP="00FF5C65">
            <w:pPr>
              <w:spacing w:after="0" w:line="240" w:lineRule="auto"/>
              <w:rPr>
                <w:rFonts w:ascii="inherit" w:eastAsia="Times New Roman" w:hAnsi="inherit" w:cs="Times New Roman"/>
                <w:caps/>
                <w:color w:val="514F4D"/>
                <w:spacing w:val="15"/>
                <w:sz w:val="24"/>
                <w:szCs w:val="24"/>
              </w:rPr>
            </w:pPr>
            <w:r w:rsidRPr="00FF5C65">
              <w:rPr>
                <w:rFonts w:ascii="inherit" w:eastAsia="Times New Roman" w:hAnsi="inherit" w:cs="Times New Roman"/>
                <w:caps/>
                <w:color w:val="514F4D"/>
                <w:spacing w:val="15"/>
                <w:sz w:val="24"/>
                <w:szCs w:val="24"/>
              </w:rPr>
              <w:t>FIELD VALUES</w:t>
            </w:r>
          </w:p>
        </w:tc>
      </w:tr>
      <w:tr w:rsidR="00FF5C65" w:rsidRPr="00FF5C65" w14:paraId="19D7E343" w14:textId="77777777" w:rsidTr="00FF5C65">
        <w:trPr>
          <w:tblCellSpacing w:w="15" w:type="dxa"/>
        </w:trPr>
        <w:tc>
          <w:tcPr>
            <w:tcW w:w="0" w:type="auto"/>
            <w:tcBorders>
              <w:top w:val="single" w:sz="6" w:space="0" w:color="DDDBDA"/>
              <w:left w:val="nil"/>
              <w:bottom w:val="nil"/>
              <w:right w:val="nil"/>
            </w:tcBorders>
            <w:shd w:val="clear" w:color="auto" w:fill="FFFFFF"/>
            <w:vAlign w:val="bottom"/>
            <w:hideMark/>
          </w:tcPr>
          <w:p w14:paraId="22745FD3"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Product Rule</w:t>
            </w:r>
          </w:p>
        </w:tc>
        <w:tc>
          <w:tcPr>
            <w:tcW w:w="0" w:type="auto"/>
            <w:tcBorders>
              <w:top w:val="single" w:sz="6" w:space="0" w:color="DDDBDA"/>
              <w:left w:val="nil"/>
              <w:bottom w:val="nil"/>
              <w:right w:val="nil"/>
            </w:tcBorders>
            <w:shd w:val="clear" w:color="auto" w:fill="FFFFFF"/>
            <w:vAlign w:val="bottom"/>
            <w:hideMark/>
          </w:tcPr>
          <w:p w14:paraId="658CDAF8" w14:textId="77777777" w:rsidR="00FF5C65" w:rsidRPr="00FF5C65" w:rsidRDefault="00FF5C65" w:rsidP="00FF5C65">
            <w:pPr>
              <w:numPr>
                <w:ilvl w:val="0"/>
                <w:numId w:val="5"/>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Name: Add Stand to Red Package Monitor Bundles</w:t>
            </w:r>
          </w:p>
          <w:p w14:paraId="67B95A92" w14:textId="77777777" w:rsidR="00FF5C65" w:rsidRPr="00FF5C65" w:rsidRDefault="00FF5C65" w:rsidP="00FF5C65">
            <w:pPr>
              <w:numPr>
                <w:ilvl w:val="0"/>
                <w:numId w:val="5"/>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Type: Selection</w:t>
            </w:r>
          </w:p>
          <w:p w14:paraId="4CD48441" w14:textId="77777777" w:rsidR="00FF5C65" w:rsidRPr="00FF5C65" w:rsidRDefault="00FF5C65" w:rsidP="00FF5C65">
            <w:pPr>
              <w:numPr>
                <w:ilvl w:val="0"/>
                <w:numId w:val="5"/>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Condition Met: All</w:t>
            </w:r>
          </w:p>
          <w:p w14:paraId="0FE29D10" w14:textId="77777777" w:rsidR="00FF5C65" w:rsidRPr="00FF5C65" w:rsidRDefault="00FF5C65" w:rsidP="00FF5C65">
            <w:pPr>
              <w:numPr>
                <w:ilvl w:val="0"/>
                <w:numId w:val="5"/>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Scope: Product</w:t>
            </w:r>
          </w:p>
          <w:p w14:paraId="03B0346D" w14:textId="77777777" w:rsidR="00FF5C65" w:rsidRPr="00FF5C65" w:rsidRDefault="00FF5C65" w:rsidP="00FF5C65">
            <w:pPr>
              <w:numPr>
                <w:ilvl w:val="0"/>
                <w:numId w:val="5"/>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Evaluation Event: Always</w:t>
            </w:r>
          </w:p>
        </w:tc>
      </w:tr>
      <w:tr w:rsidR="00FF5C65" w:rsidRPr="00FF5C65" w14:paraId="464A000A" w14:textId="77777777" w:rsidTr="00FF5C65">
        <w:trPr>
          <w:tblCellSpacing w:w="15" w:type="dxa"/>
        </w:trPr>
        <w:tc>
          <w:tcPr>
            <w:tcW w:w="0" w:type="auto"/>
            <w:tcBorders>
              <w:top w:val="single" w:sz="6" w:space="0" w:color="DDDBDA"/>
              <w:left w:val="nil"/>
              <w:bottom w:val="nil"/>
              <w:right w:val="nil"/>
            </w:tcBorders>
            <w:shd w:val="clear" w:color="auto" w:fill="FFFFFF"/>
            <w:vAlign w:val="bottom"/>
            <w:hideMark/>
          </w:tcPr>
          <w:p w14:paraId="0A363485"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Error Condition</w:t>
            </w:r>
          </w:p>
        </w:tc>
        <w:tc>
          <w:tcPr>
            <w:tcW w:w="0" w:type="auto"/>
            <w:tcBorders>
              <w:top w:val="single" w:sz="6" w:space="0" w:color="DDDBDA"/>
              <w:left w:val="nil"/>
              <w:bottom w:val="nil"/>
              <w:right w:val="nil"/>
            </w:tcBorders>
            <w:shd w:val="clear" w:color="auto" w:fill="FFFFFF"/>
            <w:vAlign w:val="bottom"/>
            <w:hideMark/>
          </w:tcPr>
          <w:p w14:paraId="5C89881D" w14:textId="77777777" w:rsidR="00FF5C65" w:rsidRPr="00FF5C65" w:rsidRDefault="00FF5C65" w:rsidP="00FF5C65">
            <w:pPr>
              <w:numPr>
                <w:ilvl w:val="0"/>
                <w:numId w:val="6"/>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Tested Object: Quote Line Group</w:t>
            </w:r>
          </w:p>
          <w:p w14:paraId="2337AA69" w14:textId="77777777" w:rsidR="00FF5C65" w:rsidRPr="00FF5C65" w:rsidRDefault="00FF5C65" w:rsidP="00FF5C65">
            <w:pPr>
              <w:numPr>
                <w:ilvl w:val="0"/>
                <w:numId w:val="6"/>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 xml:space="preserve">Tested Field: </w:t>
            </w:r>
            <w:proofErr w:type="spellStart"/>
            <w:r w:rsidRPr="00FF5C65">
              <w:rPr>
                <w:rFonts w:ascii="inherit" w:eastAsia="Times New Roman" w:hAnsi="inherit" w:cs="Times New Roman"/>
                <w:sz w:val="20"/>
                <w:szCs w:val="20"/>
              </w:rPr>
              <w:t>SBQQ__Color__c</w:t>
            </w:r>
            <w:proofErr w:type="spellEnd"/>
          </w:p>
          <w:p w14:paraId="29914ADF" w14:textId="77777777" w:rsidR="00FF5C65" w:rsidRPr="00FF5C65" w:rsidRDefault="00FF5C65" w:rsidP="00FF5C65">
            <w:pPr>
              <w:numPr>
                <w:ilvl w:val="0"/>
                <w:numId w:val="6"/>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Operator: Equals</w:t>
            </w:r>
          </w:p>
          <w:p w14:paraId="45F226DA" w14:textId="77777777" w:rsidR="00FF5C65" w:rsidRPr="00FF5C65" w:rsidRDefault="00FF5C65" w:rsidP="00FF5C65">
            <w:pPr>
              <w:numPr>
                <w:ilvl w:val="0"/>
                <w:numId w:val="6"/>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Filter Type: Value</w:t>
            </w:r>
          </w:p>
          <w:p w14:paraId="75C94ADD" w14:textId="77777777" w:rsidR="00FF5C65" w:rsidRPr="00FF5C65" w:rsidRDefault="00FF5C65" w:rsidP="00FF5C65">
            <w:pPr>
              <w:numPr>
                <w:ilvl w:val="0"/>
                <w:numId w:val="6"/>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Filter Value: Red</w:t>
            </w:r>
          </w:p>
        </w:tc>
      </w:tr>
      <w:tr w:rsidR="00FF5C65" w:rsidRPr="00FF5C65" w14:paraId="2E6B7AA9" w14:textId="77777777" w:rsidTr="00FF5C65">
        <w:trPr>
          <w:tblCellSpacing w:w="15" w:type="dxa"/>
        </w:trPr>
        <w:tc>
          <w:tcPr>
            <w:tcW w:w="0" w:type="auto"/>
            <w:tcBorders>
              <w:top w:val="single" w:sz="6" w:space="0" w:color="DDDBDA"/>
              <w:left w:val="nil"/>
              <w:bottom w:val="nil"/>
              <w:right w:val="nil"/>
            </w:tcBorders>
            <w:shd w:val="clear" w:color="auto" w:fill="FFFFFF"/>
            <w:vAlign w:val="bottom"/>
            <w:hideMark/>
          </w:tcPr>
          <w:p w14:paraId="1FF04DEF" w14:textId="77777777" w:rsidR="00FF5C65" w:rsidRPr="00FF5C65" w:rsidRDefault="00FF5C65" w:rsidP="00FF5C65">
            <w:pPr>
              <w:spacing w:after="0" w:line="240" w:lineRule="auto"/>
              <w:rPr>
                <w:rFonts w:ascii="inherit" w:eastAsia="Times New Roman" w:hAnsi="inherit" w:cs="Times New Roman"/>
                <w:sz w:val="20"/>
                <w:szCs w:val="20"/>
              </w:rPr>
            </w:pPr>
            <w:r w:rsidRPr="00FF5C65">
              <w:rPr>
                <w:rFonts w:ascii="inherit" w:eastAsia="Times New Roman" w:hAnsi="inherit" w:cs="Times New Roman"/>
                <w:sz w:val="20"/>
                <w:szCs w:val="20"/>
              </w:rPr>
              <w:t>Product Action</w:t>
            </w:r>
          </w:p>
        </w:tc>
        <w:tc>
          <w:tcPr>
            <w:tcW w:w="0" w:type="auto"/>
            <w:tcBorders>
              <w:top w:val="single" w:sz="6" w:space="0" w:color="DDDBDA"/>
              <w:left w:val="nil"/>
              <w:bottom w:val="nil"/>
              <w:right w:val="nil"/>
            </w:tcBorders>
            <w:shd w:val="clear" w:color="auto" w:fill="FFFFFF"/>
            <w:vAlign w:val="bottom"/>
            <w:hideMark/>
          </w:tcPr>
          <w:p w14:paraId="60EA9C8B" w14:textId="77777777" w:rsidR="00FF5C65" w:rsidRPr="00FF5C65" w:rsidRDefault="00FF5C65" w:rsidP="00FF5C65">
            <w:pPr>
              <w:numPr>
                <w:ilvl w:val="0"/>
                <w:numId w:val="7"/>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Type: Add</w:t>
            </w:r>
          </w:p>
          <w:p w14:paraId="23846EB8" w14:textId="77777777" w:rsidR="00FF5C65" w:rsidRPr="00FF5C65" w:rsidRDefault="00FF5C65" w:rsidP="00FF5C65">
            <w:pPr>
              <w:numPr>
                <w:ilvl w:val="0"/>
                <w:numId w:val="7"/>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Product: Monitor Stand</w:t>
            </w:r>
          </w:p>
          <w:p w14:paraId="2A9843BD" w14:textId="77777777" w:rsidR="00FF5C65" w:rsidRPr="00FF5C65" w:rsidRDefault="00FF5C65" w:rsidP="00FF5C65">
            <w:pPr>
              <w:numPr>
                <w:ilvl w:val="0"/>
                <w:numId w:val="7"/>
              </w:numPr>
              <w:spacing w:after="0" w:line="240" w:lineRule="auto"/>
              <w:textAlignment w:val="baseline"/>
              <w:rPr>
                <w:rFonts w:ascii="inherit" w:eastAsia="Times New Roman" w:hAnsi="inherit" w:cs="Times New Roman"/>
                <w:sz w:val="20"/>
                <w:szCs w:val="20"/>
              </w:rPr>
            </w:pPr>
            <w:r w:rsidRPr="00FF5C65">
              <w:rPr>
                <w:rFonts w:ascii="inherit" w:eastAsia="Times New Roman" w:hAnsi="inherit" w:cs="Times New Roman"/>
                <w:sz w:val="20"/>
                <w:szCs w:val="20"/>
              </w:rPr>
              <w:t>Required: True</w:t>
            </w:r>
          </w:p>
        </w:tc>
      </w:tr>
    </w:tbl>
    <w:p w14:paraId="2C176CA0" w14:textId="77777777" w:rsidR="00FF5C65" w:rsidRPr="00FF5C65" w:rsidRDefault="00FF5C65" w:rsidP="00FF5C65">
      <w:pPr>
        <w:spacing w:after="0" w:line="240" w:lineRule="auto"/>
        <w:ind w:left="720"/>
        <w:textAlignment w:val="baseline"/>
        <w:rPr>
          <w:rFonts w:ascii="Arial" w:eastAsia="Times New Roman" w:hAnsi="Arial" w:cs="Arial"/>
          <w:color w:val="333333"/>
          <w:sz w:val="24"/>
          <w:szCs w:val="24"/>
        </w:rPr>
      </w:pPr>
    </w:p>
    <w:p w14:paraId="6B15B322" w14:textId="77777777" w:rsidR="00FF5C65" w:rsidRPr="00FF5C65" w:rsidRDefault="00FF5C65" w:rsidP="00FF5C65">
      <w:pPr>
        <w:spacing w:after="0" w:line="240" w:lineRule="auto"/>
        <w:ind w:left="720"/>
        <w:textAlignment w:val="baseline"/>
        <w:rPr>
          <w:rFonts w:ascii="Arial" w:eastAsia="Times New Roman" w:hAnsi="Arial" w:cs="Arial"/>
          <w:color w:val="333333"/>
          <w:sz w:val="24"/>
          <w:szCs w:val="24"/>
        </w:rPr>
      </w:pPr>
    </w:p>
    <w:p w14:paraId="6C4D666E" w14:textId="19AF09BF" w:rsidR="00FF5C65" w:rsidRPr="00FF5C65" w:rsidRDefault="00FF5C65" w:rsidP="00FF5C65">
      <w:pPr>
        <w:numPr>
          <w:ilvl w:val="0"/>
          <w:numId w:val="8"/>
        </w:numPr>
        <w:spacing w:after="0" w:line="240" w:lineRule="auto"/>
        <w:textAlignment w:val="baseline"/>
        <w:rPr>
          <w:rFonts w:ascii="Arial" w:eastAsia="Times New Roman" w:hAnsi="Arial" w:cs="Arial"/>
          <w:color w:val="333333"/>
          <w:sz w:val="24"/>
          <w:szCs w:val="24"/>
        </w:rPr>
      </w:pPr>
      <w:hyperlink r:id="rId6" w:history="1">
        <w:r w:rsidRPr="00FF5C65">
          <w:rPr>
            <w:rFonts w:ascii="inherit" w:eastAsia="Times New Roman" w:hAnsi="inherit" w:cs="Arial"/>
            <w:b/>
            <w:bCs/>
            <w:color w:val="006DCC"/>
            <w:sz w:val="24"/>
            <w:szCs w:val="24"/>
            <w:u w:val="single"/>
            <w:bdr w:val="none" w:sz="0" w:space="0" w:color="auto" w:frame="1"/>
          </w:rPr>
          <w:t>Selection Rules in Nested Bundles</w:t>
        </w:r>
      </w:hyperlink>
      <w:r w:rsidRPr="00FF5C65">
        <w:rPr>
          <w:rFonts w:ascii="Arial" w:eastAsia="Times New Roman" w:hAnsi="Arial" w:cs="Arial"/>
          <w:color w:val="333333"/>
          <w:sz w:val="24"/>
          <w:szCs w:val="24"/>
        </w:rPr>
        <w:br/>
        <w:t>Use selection rules within nested bundles to expand the scope of options Salesforce CPQ considers when evaluating options in the configurator.</w:t>
      </w:r>
    </w:p>
    <w:p w14:paraId="6D2F4CBE" w14:textId="77777777" w:rsidR="00387FD8" w:rsidRDefault="00387FD8"/>
    <w:sectPr w:rsidR="00387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C3219"/>
    <w:multiLevelType w:val="multilevel"/>
    <w:tmpl w:val="4DFE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0E03B1"/>
    <w:multiLevelType w:val="multilevel"/>
    <w:tmpl w:val="A960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5B7FA8"/>
    <w:multiLevelType w:val="multilevel"/>
    <w:tmpl w:val="56B2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D9374C"/>
    <w:multiLevelType w:val="multilevel"/>
    <w:tmpl w:val="2792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AF2C32"/>
    <w:multiLevelType w:val="multilevel"/>
    <w:tmpl w:val="4BD0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EA2FBE"/>
    <w:multiLevelType w:val="multilevel"/>
    <w:tmpl w:val="8EA2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3B64A0"/>
    <w:multiLevelType w:val="multilevel"/>
    <w:tmpl w:val="25A0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287A8F"/>
    <w:multiLevelType w:val="multilevel"/>
    <w:tmpl w:val="0D80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6"/>
  </w:num>
  <w:num w:numId="4">
    <w:abstractNumId w:val="4"/>
  </w:num>
  <w:num w:numId="5">
    <w:abstractNumId w:val="0"/>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6F"/>
    <w:rsid w:val="00387FD8"/>
    <w:rsid w:val="009F756F"/>
    <w:rsid w:val="00FF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DF92"/>
  <w15:chartTrackingRefBased/>
  <w15:docId w15:val="{79C305A6-5177-4424-8E85-6DF03299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5C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F5C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ds-text-titlecaps">
    <w:name w:val="slds-text-title_caps"/>
    <w:basedOn w:val="DefaultParagraphFont"/>
    <w:rsid w:val="00FF5C65"/>
  </w:style>
  <w:style w:type="paragraph" w:customStyle="1" w:styleId="slds-p-bottomsmall">
    <w:name w:val="slds-p-bottom_small"/>
    <w:basedOn w:val="Normal"/>
    <w:rsid w:val="00FF5C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5C65"/>
    <w:rPr>
      <w:b/>
      <w:bCs/>
    </w:rPr>
  </w:style>
  <w:style w:type="character" w:styleId="Hyperlink">
    <w:name w:val="Hyperlink"/>
    <w:basedOn w:val="DefaultParagraphFont"/>
    <w:uiPriority w:val="99"/>
    <w:semiHidden/>
    <w:unhideWhenUsed/>
    <w:rsid w:val="00FF5C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004783">
      <w:bodyDiv w:val="1"/>
      <w:marLeft w:val="0"/>
      <w:marRight w:val="0"/>
      <w:marTop w:val="0"/>
      <w:marBottom w:val="0"/>
      <w:divBdr>
        <w:top w:val="none" w:sz="0" w:space="0" w:color="auto"/>
        <w:left w:val="none" w:sz="0" w:space="0" w:color="auto"/>
        <w:bottom w:val="none" w:sz="0" w:space="0" w:color="auto"/>
        <w:right w:val="none" w:sz="0" w:space="0" w:color="auto"/>
      </w:divBdr>
    </w:div>
    <w:div w:id="1720664690">
      <w:bodyDiv w:val="1"/>
      <w:marLeft w:val="0"/>
      <w:marRight w:val="0"/>
      <w:marTop w:val="0"/>
      <w:marBottom w:val="0"/>
      <w:divBdr>
        <w:top w:val="none" w:sz="0" w:space="0" w:color="auto"/>
        <w:left w:val="none" w:sz="0" w:space="0" w:color="auto"/>
        <w:bottom w:val="none" w:sz="0" w:space="0" w:color="auto"/>
        <w:right w:val="none" w:sz="0" w:space="0" w:color="auto"/>
      </w:divBdr>
      <w:divsChild>
        <w:div w:id="1897623703">
          <w:marLeft w:val="0"/>
          <w:marRight w:val="0"/>
          <w:marTop w:val="0"/>
          <w:marBottom w:val="0"/>
          <w:divBdr>
            <w:top w:val="none" w:sz="0" w:space="0" w:color="auto"/>
            <w:left w:val="none" w:sz="0" w:space="0" w:color="auto"/>
            <w:bottom w:val="none" w:sz="0" w:space="0" w:color="auto"/>
            <w:right w:val="none" w:sz="0" w:space="0" w:color="auto"/>
          </w:divBdr>
        </w:div>
        <w:div w:id="1796871461">
          <w:marLeft w:val="0"/>
          <w:marRight w:val="0"/>
          <w:marTop w:val="0"/>
          <w:marBottom w:val="0"/>
          <w:divBdr>
            <w:top w:val="single" w:sz="6" w:space="0" w:color="DDDBDA"/>
            <w:left w:val="single" w:sz="6" w:space="0" w:color="DDDBDA"/>
            <w:bottom w:val="single" w:sz="6" w:space="0" w:color="DDDBDA"/>
            <w:right w:val="single" w:sz="6" w:space="0" w:color="DDDBDA"/>
          </w:divBdr>
          <w:divsChild>
            <w:div w:id="512962956">
              <w:marLeft w:val="0"/>
              <w:marRight w:val="0"/>
              <w:marTop w:val="0"/>
              <w:marBottom w:val="0"/>
              <w:divBdr>
                <w:top w:val="none" w:sz="0" w:space="0" w:color="auto"/>
                <w:left w:val="none" w:sz="0" w:space="0" w:color="auto"/>
                <w:bottom w:val="none" w:sz="0" w:space="0" w:color="auto"/>
                <w:right w:val="none" w:sz="0" w:space="0" w:color="auto"/>
              </w:divBdr>
              <w:divsChild>
                <w:div w:id="11733758">
                  <w:marLeft w:val="0"/>
                  <w:marRight w:val="0"/>
                  <w:marTop w:val="0"/>
                  <w:marBottom w:val="0"/>
                  <w:divBdr>
                    <w:top w:val="none" w:sz="0" w:space="0" w:color="auto"/>
                    <w:left w:val="none" w:sz="0" w:space="0" w:color="auto"/>
                    <w:bottom w:val="none" w:sz="0" w:space="0" w:color="auto"/>
                    <w:right w:val="none" w:sz="0" w:space="0" w:color="auto"/>
                  </w:divBdr>
                </w:div>
                <w:div w:id="7760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2034">
          <w:marLeft w:val="0"/>
          <w:marRight w:val="0"/>
          <w:marTop w:val="0"/>
          <w:marBottom w:val="0"/>
          <w:divBdr>
            <w:top w:val="single" w:sz="6" w:space="0" w:color="DDDBDA"/>
            <w:left w:val="single" w:sz="6" w:space="0" w:color="DDDBDA"/>
            <w:bottom w:val="single" w:sz="6" w:space="0" w:color="DDDBDA"/>
            <w:right w:val="single" w:sz="6" w:space="0" w:color="DDDBDA"/>
          </w:divBdr>
          <w:divsChild>
            <w:div w:id="1676611055">
              <w:marLeft w:val="0"/>
              <w:marRight w:val="0"/>
              <w:marTop w:val="0"/>
              <w:marBottom w:val="0"/>
              <w:divBdr>
                <w:top w:val="none" w:sz="0" w:space="0" w:color="auto"/>
                <w:left w:val="none" w:sz="0" w:space="0" w:color="auto"/>
                <w:bottom w:val="none" w:sz="0" w:space="0" w:color="auto"/>
                <w:right w:val="none" w:sz="0" w:space="0" w:color="auto"/>
              </w:divBdr>
              <w:divsChild>
                <w:div w:id="901449495">
                  <w:marLeft w:val="0"/>
                  <w:marRight w:val="0"/>
                  <w:marTop w:val="0"/>
                  <w:marBottom w:val="0"/>
                  <w:divBdr>
                    <w:top w:val="none" w:sz="0" w:space="0" w:color="auto"/>
                    <w:left w:val="none" w:sz="0" w:space="0" w:color="auto"/>
                    <w:bottom w:val="none" w:sz="0" w:space="0" w:color="auto"/>
                    <w:right w:val="none" w:sz="0" w:space="0" w:color="auto"/>
                  </w:divBdr>
                </w:div>
                <w:div w:id="10286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salesforce.com/articleView?id=cpq_sel_rules_nested_bundles.htm&amp;type=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2</cp:revision>
  <dcterms:created xsi:type="dcterms:W3CDTF">2021-02-12T03:51:00Z</dcterms:created>
  <dcterms:modified xsi:type="dcterms:W3CDTF">2021-02-12T03:53:00Z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2021-02-12T03:51:36Z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359a6723-0f60-49ed-bf76-e0be5dbe269e</vt:lpwstr>
  </property>
  <property fmtid="{D5CDD505-2E9C-101B-9397-08002B2CF9AE}" pid="8" name="MSIP_Label_1bc0f418-96a4-4caf-9d7c-ccc5ec7f9d91_ContentBits">
    <vt:lpwstr>0</vt:lpwstr>
  </property>
</Properties>
</file>