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F0D01" w14:textId="77777777" w:rsidR="003416D6" w:rsidRPr="003416D6" w:rsidRDefault="003416D6" w:rsidP="003416D6">
      <w:pPr>
        <w:spacing w:beforeAutospacing="1" w:after="0" w:afterAutospacing="1" w:line="240" w:lineRule="auto"/>
        <w:textAlignment w:val="baseline"/>
        <w:outlineLvl w:val="0"/>
        <w:rPr>
          <w:rFonts w:ascii="Arial" w:eastAsia="Times New Roman" w:hAnsi="Arial" w:cs="Arial"/>
          <w:color w:val="333333"/>
          <w:kern w:val="36"/>
          <w:sz w:val="48"/>
          <w:szCs w:val="48"/>
        </w:rPr>
      </w:pPr>
      <w:r w:rsidRPr="003416D6">
        <w:rPr>
          <w:rFonts w:ascii="Arial" w:eastAsia="Times New Roman" w:hAnsi="Arial" w:cs="Arial"/>
          <w:color w:val="333333"/>
          <w:kern w:val="36"/>
          <w:sz w:val="48"/>
          <w:szCs w:val="48"/>
          <w:bdr w:val="none" w:sz="0" w:space="0" w:color="auto" w:frame="1"/>
        </w:rPr>
        <w:t>Mapping Custom Fields Between Objects</w:t>
      </w:r>
    </w:p>
    <w:p w14:paraId="4CB2B54E" w14:textId="77777777" w:rsidR="003416D6" w:rsidRPr="003416D6" w:rsidRDefault="003416D6" w:rsidP="003416D6">
      <w:pPr>
        <w:spacing w:before="100" w:beforeAutospacing="1" w:after="100" w:afterAutospacing="1" w:line="240" w:lineRule="auto"/>
        <w:textAlignment w:val="baseline"/>
        <w:rPr>
          <w:rFonts w:ascii="Arial" w:eastAsia="Times New Roman" w:hAnsi="Arial" w:cs="Arial"/>
          <w:color w:val="333333"/>
          <w:sz w:val="24"/>
          <w:szCs w:val="24"/>
        </w:rPr>
      </w:pPr>
      <w:r w:rsidRPr="003416D6">
        <w:rPr>
          <w:rFonts w:ascii="Arial" w:eastAsia="Times New Roman" w:hAnsi="Arial" w:cs="Arial"/>
          <w:color w:val="333333"/>
          <w:sz w:val="24"/>
          <w:szCs w:val="24"/>
        </w:rPr>
        <w:t>Certain pairs of CPQ objects pass custom field values from the first object to the second object when the second object is created. The values pass if the custom fields are editable, have matching field types, and have matching API names. We call these field pairs “twin fields.”</w:t>
      </w:r>
    </w:p>
    <w:p w14:paraId="7EE25849" w14:textId="77777777" w:rsidR="003416D6" w:rsidRPr="003416D6" w:rsidRDefault="003416D6" w:rsidP="003416D6">
      <w:pPr>
        <w:spacing w:before="100" w:beforeAutospacing="1" w:after="100" w:afterAutospacing="1" w:line="240" w:lineRule="auto"/>
        <w:textAlignment w:val="baseline"/>
        <w:outlineLvl w:val="2"/>
        <w:rPr>
          <w:rFonts w:ascii="inherit" w:eastAsia="Times New Roman" w:hAnsi="inherit" w:cs="Arial"/>
          <w:b/>
          <w:bCs/>
          <w:caps/>
          <w:color w:val="1E1E1E"/>
          <w:spacing w:val="15"/>
          <w:sz w:val="27"/>
          <w:szCs w:val="27"/>
        </w:rPr>
      </w:pPr>
      <w:r w:rsidRPr="003416D6">
        <w:rPr>
          <w:rFonts w:ascii="inherit" w:eastAsia="Times New Roman" w:hAnsi="inherit" w:cs="Arial"/>
          <w:b/>
          <w:bCs/>
          <w:caps/>
          <w:color w:val="1E1E1E"/>
          <w:spacing w:val="15"/>
          <w:sz w:val="27"/>
          <w:szCs w:val="27"/>
        </w:rPr>
        <w:t>REQUIRED EDITIONS</w:t>
      </w:r>
    </w:p>
    <w:tbl>
      <w:tblPr>
        <w:tblW w:w="0" w:type="auto"/>
        <w:tblCellSpacing w:w="15" w:type="dxa"/>
        <w:tblBorders>
          <w:top w:val="single" w:sz="6" w:space="0" w:color="DDDBDA"/>
          <w:bottom w:val="single" w:sz="6" w:space="0" w:color="DDDBDA"/>
        </w:tblBorders>
        <w:shd w:val="clear" w:color="auto" w:fill="FFFFFF"/>
        <w:tblCellMar>
          <w:left w:w="0" w:type="dxa"/>
          <w:right w:w="0" w:type="dxa"/>
        </w:tblCellMar>
        <w:tblLook w:val="04A0" w:firstRow="1" w:lastRow="0" w:firstColumn="1" w:lastColumn="0" w:noHBand="0" w:noVBand="1"/>
        <w:tblDescription w:val="Salesforce editions needed for the documented functionality"/>
      </w:tblPr>
      <w:tblGrid>
        <w:gridCol w:w="3461"/>
      </w:tblGrid>
      <w:tr w:rsidR="003416D6" w:rsidRPr="003416D6" w14:paraId="60B72F25"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4C61D863" w14:textId="77777777" w:rsidR="003416D6" w:rsidRPr="003416D6" w:rsidRDefault="003416D6" w:rsidP="003416D6">
            <w:pPr>
              <w:spacing w:after="0" w:line="240" w:lineRule="auto"/>
              <w:rPr>
                <w:rFonts w:ascii="inherit" w:eastAsia="Times New Roman" w:hAnsi="inherit" w:cs="Times New Roman"/>
                <w:color w:val="585858"/>
                <w:sz w:val="20"/>
                <w:szCs w:val="20"/>
              </w:rPr>
            </w:pPr>
            <w:r w:rsidRPr="003416D6">
              <w:rPr>
                <w:rFonts w:ascii="inherit" w:eastAsia="Times New Roman" w:hAnsi="inherit" w:cs="Times New Roman"/>
                <w:color w:val="585858"/>
                <w:sz w:val="20"/>
                <w:szCs w:val="20"/>
              </w:rPr>
              <w:t>Available in: All Salesforce CPQ Editions</w:t>
            </w:r>
          </w:p>
        </w:tc>
      </w:tr>
    </w:tbl>
    <w:p w14:paraId="6E988ED5" w14:textId="77777777" w:rsidR="003416D6" w:rsidRPr="003416D6" w:rsidRDefault="003416D6" w:rsidP="003416D6">
      <w:pPr>
        <w:spacing w:before="100" w:beforeAutospacing="1" w:after="100" w:afterAutospacing="1" w:line="240" w:lineRule="auto"/>
        <w:textAlignment w:val="baseline"/>
        <w:outlineLvl w:val="1"/>
        <w:rPr>
          <w:rFonts w:ascii="Arial" w:eastAsia="Times New Roman" w:hAnsi="Arial" w:cs="Arial"/>
          <w:color w:val="333333"/>
          <w:sz w:val="36"/>
          <w:szCs w:val="36"/>
        </w:rPr>
      </w:pPr>
      <w:r w:rsidRPr="003416D6">
        <w:rPr>
          <w:rFonts w:ascii="Arial" w:eastAsia="Times New Roman" w:hAnsi="Arial" w:cs="Arial"/>
          <w:color w:val="333333"/>
          <w:sz w:val="36"/>
          <w:szCs w:val="36"/>
        </w:rPr>
        <w:t>One-Way Mapping</w:t>
      </w:r>
    </w:p>
    <w:p w14:paraId="6DAC6CE6" w14:textId="5391617F" w:rsidR="003416D6" w:rsidRPr="003416D6" w:rsidRDefault="003416D6" w:rsidP="003416D6">
      <w:pPr>
        <w:shd w:val="clear" w:color="auto" w:fill="F3F2F2"/>
        <w:spacing w:after="0" w:line="240" w:lineRule="auto"/>
        <w:textAlignment w:val="baseline"/>
        <w:rPr>
          <w:rFonts w:ascii="Arial" w:eastAsia="Times New Roman" w:hAnsi="Arial" w:cs="Arial"/>
          <w:color w:val="333333"/>
          <w:sz w:val="21"/>
          <w:szCs w:val="21"/>
        </w:rPr>
      </w:pPr>
      <w:r w:rsidRPr="003416D6">
        <w:rPr>
          <w:rFonts w:ascii="inherit" w:eastAsia="Times New Roman" w:hAnsi="inherit" w:cs="Arial"/>
          <w:noProof/>
          <w:color w:val="333333"/>
          <w:sz w:val="21"/>
          <w:szCs w:val="21"/>
          <w:bdr w:val="none" w:sz="0" w:space="0" w:color="auto" w:frame="1"/>
        </w:rPr>
        <w:drawing>
          <wp:inline distT="0" distB="0" distL="0" distR="0" wp14:anchorId="020A4162" wp14:editId="4BE96340">
            <wp:extent cx="304800" cy="304800"/>
            <wp:effectExtent l="0" t="0" r="0" b="0"/>
            <wp:docPr id="2" name="Picture 2"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ADAA693" w14:textId="77777777" w:rsidR="003416D6" w:rsidRPr="003416D6" w:rsidRDefault="003416D6" w:rsidP="003416D6">
      <w:pPr>
        <w:shd w:val="clear" w:color="auto" w:fill="F3F2F2"/>
        <w:spacing w:after="0" w:line="240" w:lineRule="auto"/>
        <w:textAlignment w:val="baseline"/>
        <w:rPr>
          <w:rFonts w:ascii="inherit" w:eastAsia="Times New Roman" w:hAnsi="inherit" w:cs="Arial"/>
          <w:color w:val="333333"/>
          <w:sz w:val="21"/>
          <w:szCs w:val="21"/>
        </w:rPr>
      </w:pPr>
      <w:r w:rsidRPr="003416D6">
        <w:rPr>
          <w:rFonts w:ascii="inherit" w:eastAsia="Times New Roman" w:hAnsi="inherit" w:cs="Arial"/>
          <w:caps/>
          <w:color w:val="1E1E1E"/>
          <w:spacing w:val="15"/>
          <w:sz w:val="21"/>
          <w:szCs w:val="21"/>
          <w:bdr w:val="none" w:sz="0" w:space="0" w:color="auto" w:frame="1"/>
        </w:rPr>
        <w:t>IMPORTANT</w:t>
      </w:r>
    </w:p>
    <w:p w14:paraId="013501FD" w14:textId="77777777" w:rsidR="003416D6" w:rsidRPr="003416D6" w:rsidRDefault="003416D6" w:rsidP="003416D6">
      <w:pPr>
        <w:numPr>
          <w:ilvl w:val="0"/>
          <w:numId w:val="1"/>
        </w:numPr>
        <w:shd w:val="clear" w:color="auto" w:fill="F3F2F2"/>
        <w:spacing w:after="0" w:line="240" w:lineRule="auto"/>
        <w:textAlignment w:val="baseline"/>
        <w:rPr>
          <w:rFonts w:ascii="inherit" w:eastAsia="Times New Roman" w:hAnsi="inherit" w:cs="Arial"/>
          <w:color w:val="333333"/>
          <w:sz w:val="21"/>
          <w:szCs w:val="21"/>
        </w:rPr>
      </w:pPr>
      <w:r w:rsidRPr="003416D6">
        <w:rPr>
          <w:rFonts w:ascii="inherit" w:eastAsia="Times New Roman" w:hAnsi="inherit" w:cs="Arial"/>
          <w:color w:val="333333"/>
          <w:sz w:val="21"/>
          <w:szCs w:val="21"/>
        </w:rPr>
        <w:t>To map one field to another, you need Read access on the source field and Edit access on the target field.</w:t>
      </w:r>
    </w:p>
    <w:p w14:paraId="6999FD4E" w14:textId="77777777" w:rsidR="003416D6" w:rsidRPr="003416D6" w:rsidRDefault="003416D6" w:rsidP="003416D6">
      <w:pPr>
        <w:numPr>
          <w:ilvl w:val="0"/>
          <w:numId w:val="1"/>
        </w:numPr>
        <w:shd w:val="clear" w:color="auto" w:fill="F3F2F2"/>
        <w:spacing w:after="0" w:line="240" w:lineRule="auto"/>
        <w:textAlignment w:val="baseline"/>
        <w:rPr>
          <w:rFonts w:ascii="inherit" w:eastAsia="Times New Roman" w:hAnsi="inherit" w:cs="Arial"/>
          <w:color w:val="333333"/>
          <w:sz w:val="21"/>
          <w:szCs w:val="21"/>
        </w:rPr>
      </w:pPr>
      <w:r w:rsidRPr="003416D6">
        <w:rPr>
          <w:rFonts w:ascii="inherit" w:eastAsia="Times New Roman" w:hAnsi="inherit" w:cs="Arial"/>
          <w:color w:val="333333"/>
          <w:sz w:val="21"/>
          <w:szCs w:val="21"/>
        </w:rPr>
        <w:t>Standard fields can’t be mapped between objects.</w:t>
      </w:r>
    </w:p>
    <w:p w14:paraId="53979498"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Arial"/>
          <w:color w:val="333333"/>
          <w:sz w:val="21"/>
          <w:szCs w:val="21"/>
        </w:rPr>
      </w:pPr>
      <w:r w:rsidRPr="003416D6">
        <w:rPr>
          <w:rFonts w:ascii="inherit" w:eastAsia="Times New Roman" w:hAnsi="inherit" w:cs="Arial"/>
          <w:color w:val="333333"/>
          <w:sz w:val="21"/>
          <w:szCs w:val="21"/>
        </w:rPr>
        <w:t>Objects in Column 1 of this table pass field values to custom fields with matching types and API names from the objects in column 2.</w:t>
      </w:r>
    </w:p>
    <w:tbl>
      <w:tblPr>
        <w:tblW w:w="0" w:type="auto"/>
        <w:tblCellSpacing w:w="15" w:type="dxa"/>
        <w:tblBorders>
          <w:top w:val="single" w:sz="6" w:space="0" w:color="DDDBDA"/>
          <w:bottom w:val="single" w:sz="6" w:space="0" w:color="DDDBDA"/>
        </w:tblBorders>
        <w:shd w:val="clear" w:color="auto" w:fill="FFFFFF"/>
        <w:tblCellMar>
          <w:left w:w="0" w:type="dxa"/>
          <w:right w:w="0" w:type="dxa"/>
        </w:tblCellMar>
        <w:tblLook w:val="04A0" w:firstRow="1" w:lastRow="0" w:firstColumn="1" w:lastColumn="0" w:noHBand="0" w:noVBand="1"/>
      </w:tblPr>
      <w:tblGrid>
        <w:gridCol w:w="1415"/>
        <w:gridCol w:w="7945"/>
      </w:tblGrid>
      <w:tr w:rsidR="003416D6" w:rsidRPr="003416D6" w14:paraId="7B3DA72E" w14:textId="77777777" w:rsidTr="003416D6">
        <w:trPr>
          <w:tblHeader/>
          <w:tblCellSpacing w:w="15" w:type="dxa"/>
        </w:trPr>
        <w:tc>
          <w:tcPr>
            <w:tcW w:w="0" w:type="auto"/>
            <w:tcBorders>
              <w:top w:val="nil"/>
              <w:left w:val="nil"/>
              <w:bottom w:val="nil"/>
              <w:right w:val="nil"/>
            </w:tcBorders>
            <w:shd w:val="clear" w:color="auto" w:fill="FAFAF9"/>
            <w:vAlign w:val="bottom"/>
            <w:hideMark/>
          </w:tcPr>
          <w:p w14:paraId="792C68CD" w14:textId="77777777" w:rsidR="003416D6" w:rsidRPr="003416D6" w:rsidRDefault="003416D6" w:rsidP="003416D6">
            <w:pPr>
              <w:spacing w:after="0" w:line="240" w:lineRule="auto"/>
              <w:rPr>
                <w:rFonts w:ascii="inherit" w:eastAsia="Times New Roman" w:hAnsi="inherit" w:cs="Times New Roman"/>
                <w:caps/>
                <w:color w:val="514F4D"/>
                <w:spacing w:val="15"/>
                <w:sz w:val="24"/>
                <w:szCs w:val="24"/>
              </w:rPr>
            </w:pPr>
            <w:r w:rsidRPr="003416D6">
              <w:rPr>
                <w:rFonts w:ascii="inherit" w:eastAsia="Times New Roman" w:hAnsi="inherit" w:cs="Times New Roman"/>
                <w:caps/>
                <w:color w:val="514F4D"/>
                <w:spacing w:val="15"/>
                <w:sz w:val="24"/>
                <w:szCs w:val="24"/>
              </w:rPr>
              <w:t>COLUMN 1</w:t>
            </w:r>
          </w:p>
        </w:tc>
        <w:tc>
          <w:tcPr>
            <w:tcW w:w="0" w:type="auto"/>
            <w:tcBorders>
              <w:top w:val="nil"/>
              <w:left w:val="nil"/>
              <w:bottom w:val="nil"/>
              <w:right w:val="nil"/>
            </w:tcBorders>
            <w:shd w:val="clear" w:color="auto" w:fill="FAFAF9"/>
            <w:vAlign w:val="bottom"/>
            <w:hideMark/>
          </w:tcPr>
          <w:p w14:paraId="37BD7BA8" w14:textId="77777777" w:rsidR="003416D6" w:rsidRPr="003416D6" w:rsidRDefault="003416D6" w:rsidP="003416D6">
            <w:pPr>
              <w:spacing w:after="0" w:line="240" w:lineRule="auto"/>
              <w:rPr>
                <w:rFonts w:ascii="inherit" w:eastAsia="Times New Roman" w:hAnsi="inherit" w:cs="Times New Roman"/>
                <w:caps/>
                <w:color w:val="514F4D"/>
                <w:spacing w:val="15"/>
                <w:sz w:val="24"/>
                <w:szCs w:val="24"/>
              </w:rPr>
            </w:pPr>
            <w:r w:rsidRPr="003416D6">
              <w:rPr>
                <w:rFonts w:ascii="inherit" w:eastAsia="Times New Roman" w:hAnsi="inherit" w:cs="Times New Roman"/>
                <w:caps/>
                <w:color w:val="514F4D"/>
                <w:spacing w:val="15"/>
                <w:sz w:val="24"/>
                <w:szCs w:val="24"/>
              </w:rPr>
              <w:t>COLUMN 2</w:t>
            </w:r>
          </w:p>
        </w:tc>
      </w:tr>
      <w:tr w:rsidR="003416D6" w:rsidRPr="003416D6" w14:paraId="48DD58F4"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07439709"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Contract</w:t>
            </w:r>
          </w:p>
        </w:tc>
        <w:tc>
          <w:tcPr>
            <w:tcW w:w="0" w:type="auto"/>
            <w:tcBorders>
              <w:top w:val="single" w:sz="6" w:space="0" w:color="DDDBDA"/>
              <w:left w:val="nil"/>
              <w:bottom w:val="nil"/>
              <w:right w:val="nil"/>
            </w:tcBorders>
            <w:shd w:val="clear" w:color="auto" w:fill="FFFFFF"/>
            <w:vAlign w:val="bottom"/>
            <w:hideMark/>
          </w:tcPr>
          <w:p w14:paraId="4705E98B"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Opportunities made from amending or renewing the contract</w:t>
            </w:r>
          </w:p>
        </w:tc>
      </w:tr>
      <w:tr w:rsidR="003416D6" w:rsidRPr="003416D6" w14:paraId="5AD88B7C"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6EAA7236"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Service Contract</w:t>
            </w:r>
          </w:p>
        </w:tc>
        <w:tc>
          <w:tcPr>
            <w:tcW w:w="0" w:type="auto"/>
            <w:tcBorders>
              <w:top w:val="single" w:sz="6" w:space="0" w:color="DDDBDA"/>
              <w:left w:val="nil"/>
              <w:bottom w:val="nil"/>
              <w:right w:val="nil"/>
            </w:tcBorders>
            <w:shd w:val="clear" w:color="auto" w:fill="FFFFFF"/>
            <w:vAlign w:val="bottom"/>
            <w:hideMark/>
          </w:tcPr>
          <w:p w14:paraId="1BEC7F33"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Opportunities made from amending or renewing the service contract</w:t>
            </w:r>
          </w:p>
        </w:tc>
      </w:tr>
      <w:tr w:rsidR="003416D6" w:rsidRPr="003416D6" w14:paraId="0F6736B2"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406C0A95"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Opportunity Products</w:t>
            </w:r>
          </w:p>
        </w:tc>
        <w:tc>
          <w:tcPr>
            <w:tcW w:w="0" w:type="auto"/>
            <w:tcBorders>
              <w:top w:val="single" w:sz="6" w:space="0" w:color="DDDBDA"/>
              <w:left w:val="nil"/>
              <w:bottom w:val="nil"/>
              <w:right w:val="nil"/>
            </w:tcBorders>
            <w:shd w:val="clear" w:color="auto" w:fill="FFFFFF"/>
            <w:vAlign w:val="bottom"/>
            <w:hideMark/>
          </w:tcPr>
          <w:p w14:paraId="0BDEDD9C"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Quote Line</w:t>
            </w:r>
          </w:p>
          <w:p w14:paraId="7FE8573A" w14:textId="77777777" w:rsidR="003416D6" w:rsidRPr="003416D6" w:rsidRDefault="003416D6" w:rsidP="003416D6">
            <w:pPr>
              <w:spacing w:after="0"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Salesforce CPQ maps from opportunity products to quote lines only for standalone products and only when opportunity products have been created before a sales rep creates the opportunity’s first primary quote.</w:t>
            </w:r>
          </w:p>
        </w:tc>
      </w:tr>
      <w:tr w:rsidR="003416D6" w:rsidRPr="003416D6" w14:paraId="34E69876"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05AA106D"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Product</w:t>
            </w:r>
          </w:p>
        </w:tc>
        <w:tc>
          <w:tcPr>
            <w:tcW w:w="0" w:type="auto"/>
            <w:tcBorders>
              <w:top w:val="single" w:sz="6" w:space="0" w:color="DDDBDA"/>
              <w:left w:val="nil"/>
              <w:bottom w:val="nil"/>
              <w:right w:val="nil"/>
            </w:tcBorders>
            <w:shd w:val="clear" w:color="auto" w:fill="FFFFFF"/>
            <w:vAlign w:val="bottom"/>
            <w:hideMark/>
          </w:tcPr>
          <w:p w14:paraId="6844DD31"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 Line</w:t>
            </w:r>
          </w:p>
        </w:tc>
      </w:tr>
      <w:tr w:rsidR="003416D6" w:rsidRPr="003416D6" w14:paraId="60653F72"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0D73C3C8"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Product Option</w:t>
            </w:r>
          </w:p>
        </w:tc>
        <w:tc>
          <w:tcPr>
            <w:tcW w:w="0" w:type="auto"/>
            <w:tcBorders>
              <w:top w:val="single" w:sz="6" w:space="0" w:color="DDDBDA"/>
              <w:left w:val="nil"/>
              <w:bottom w:val="nil"/>
              <w:right w:val="nil"/>
            </w:tcBorders>
            <w:shd w:val="clear" w:color="auto" w:fill="FFFFFF"/>
            <w:vAlign w:val="bottom"/>
            <w:hideMark/>
          </w:tcPr>
          <w:p w14:paraId="2D2A8C20"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Quote Line</w:t>
            </w:r>
          </w:p>
          <w:p w14:paraId="544E7181" w14:textId="77777777" w:rsidR="003416D6" w:rsidRPr="003416D6" w:rsidRDefault="003416D6" w:rsidP="003416D6">
            <w:pPr>
              <w:spacing w:after="0"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If a product and product option both have the same field as a related quote line, the quote line field inherits the value of the product option field.</w:t>
            </w:r>
          </w:p>
        </w:tc>
      </w:tr>
      <w:tr w:rsidR="003416D6" w:rsidRPr="003416D6" w14:paraId="09E9891B"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273FF399"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w:t>
            </w:r>
          </w:p>
        </w:tc>
        <w:tc>
          <w:tcPr>
            <w:tcW w:w="0" w:type="auto"/>
            <w:tcBorders>
              <w:top w:val="single" w:sz="6" w:space="0" w:color="DDDBDA"/>
              <w:left w:val="nil"/>
              <w:bottom w:val="nil"/>
              <w:right w:val="nil"/>
            </w:tcBorders>
            <w:shd w:val="clear" w:color="auto" w:fill="FFFFFF"/>
            <w:vAlign w:val="bottom"/>
            <w:hideMark/>
          </w:tcPr>
          <w:p w14:paraId="5B70FFBC"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Order</w:t>
            </w:r>
          </w:p>
          <w:p w14:paraId="190FB042" w14:textId="77777777" w:rsidR="003416D6" w:rsidRPr="003416D6" w:rsidRDefault="003416D6" w:rsidP="003416D6">
            <w:pPr>
              <w:spacing w:after="0"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 xml:space="preserve">The quote’s Payment Terms field is an editable picklist field, while the order’s Payment Term field is restricted to a global picklist value set. If an admin adds a custom picklist value to the quote’s Payment Term field, and then a sales rep </w:t>
            </w:r>
            <w:proofErr w:type="gramStart"/>
            <w:r w:rsidRPr="003416D6">
              <w:rPr>
                <w:rFonts w:ascii="inherit" w:eastAsia="Times New Roman" w:hAnsi="inherit" w:cs="Times New Roman"/>
                <w:sz w:val="20"/>
                <w:szCs w:val="20"/>
              </w:rPr>
              <w:t>order</w:t>
            </w:r>
            <w:proofErr w:type="gramEnd"/>
            <w:r w:rsidRPr="003416D6">
              <w:rPr>
                <w:rFonts w:ascii="inherit" w:eastAsia="Times New Roman" w:hAnsi="inherit" w:cs="Times New Roman"/>
                <w:sz w:val="20"/>
                <w:szCs w:val="20"/>
              </w:rPr>
              <w:t xml:space="preserve"> the quote, Salesforce CPQ encounters an error.</w:t>
            </w:r>
          </w:p>
        </w:tc>
      </w:tr>
      <w:tr w:rsidR="003416D6" w:rsidRPr="003416D6" w14:paraId="56BA6553"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5F3D7BF7"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 Line</w:t>
            </w:r>
          </w:p>
        </w:tc>
        <w:tc>
          <w:tcPr>
            <w:tcW w:w="0" w:type="auto"/>
            <w:tcBorders>
              <w:top w:val="single" w:sz="6" w:space="0" w:color="DDDBDA"/>
              <w:left w:val="nil"/>
              <w:bottom w:val="nil"/>
              <w:right w:val="nil"/>
            </w:tcBorders>
            <w:shd w:val="clear" w:color="auto" w:fill="FFFFFF"/>
            <w:vAlign w:val="bottom"/>
            <w:hideMark/>
          </w:tcPr>
          <w:p w14:paraId="54C9A48C"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Order Product</w:t>
            </w:r>
          </w:p>
        </w:tc>
      </w:tr>
      <w:tr w:rsidR="003416D6" w:rsidRPr="003416D6" w14:paraId="44BC05F9"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47CE1285"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 Line</w:t>
            </w:r>
          </w:p>
        </w:tc>
        <w:tc>
          <w:tcPr>
            <w:tcW w:w="0" w:type="auto"/>
            <w:tcBorders>
              <w:top w:val="single" w:sz="6" w:space="0" w:color="DDDBDA"/>
              <w:left w:val="nil"/>
              <w:bottom w:val="nil"/>
              <w:right w:val="nil"/>
            </w:tcBorders>
            <w:shd w:val="clear" w:color="auto" w:fill="FFFFFF"/>
            <w:vAlign w:val="bottom"/>
            <w:hideMark/>
          </w:tcPr>
          <w:p w14:paraId="47A94B56"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Opportunity Product</w:t>
            </w:r>
          </w:p>
        </w:tc>
      </w:tr>
      <w:tr w:rsidR="003416D6" w:rsidRPr="003416D6" w14:paraId="7F71EAD9"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7C3DF23A"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 Line</w:t>
            </w:r>
          </w:p>
        </w:tc>
        <w:tc>
          <w:tcPr>
            <w:tcW w:w="0" w:type="auto"/>
            <w:tcBorders>
              <w:top w:val="single" w:sz="6" w:space="0" w:color="DDDBDA"/>
              <w:left w:val="nil"/>
              <w:bottom w:val="nil"/>
              <w:right w:val="nil"/>
            </w:tcBorders>
            <w:shd w:val="clear" w:color="auto" w:fill="FFFFFF"/>
            <w:vAlign w:val="bottom"/>
            <w:hideMark/>
          </w:tcPr>
          <w:p w14:paraId="6F8293ED"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Subscription</w:t>
            </w:r>
          </w:p>
        </w:tc>
      </w:tr>
      <w:tr w:rsidR="003416D6" w:rsidRPr="003416D6" w14:paraId="3A3164A6"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504B7B7F"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lastRenderedPageBreak/>
              <w:t>Quote Line</w:t>
            </w:r>
          </w:p>
        </w:tc>
        <w:tc>
          <w:tcPr>
            <w:tcW w:w="0" w:type="auto"/>
            <w:tcBorders>
              <w:top w:val="single" w:sz="6" w:space="0" w:color="DDDBDA"/>
              <w:left w:val="nil"/>
              <w:bottom w:val="nil"/>
              <w:right w:val="nil"/>
            </w:tcBorders>
            <w:shd w:val="clear" w:color="auto" w:fill="FFFFFF"/>
            <w:vAlign w:val="bottom"/>
            <w:hideMark/>
          </w:tcPr>
          <w:p w14:paraId="7ACD89EE"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Assets</w:t>
            </w:r>
          </w:p>
        </w:tc>
      </w:tr>
      <w:tr w:rsidR="003416D6" w:rsidRPr="003416D6" w14:paraId="34AD2C1D"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13EF1172"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 Line</w:t>
            </w:r>
          </w:p>
        </w:tc>
        <w:tc>
          <w:tcPr>
            <w:tcW w:w="0" w:type="auto"/>
            <w:tcBorders>
              <w:top w:val="single" w:sz="6" w:space="0" w:color="DDDBDA"/>
              <w:left w:val="nil"/>
              <w:bottom w:val="nil"/>
              <w:right w:val="nil"/>
            </w:tcBorders>
            <w:shd w:val="clear" w:color="auto" w:fill="FFFFFF"/>
            <w:vAlign w:val="bottom"/>
            <w:hideMark/>
          </w:tcPr>
          <w:p w14:paraId="557CED6C"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Contract Line Item</w:t>
            </w:r>
          </w:p>
        </w:tc>
      </w:tr>
      <w:tr w:rsidR="003416D6" w:rsidRPr="003416D6" w14:paraId="56766086"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7282333E"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Subscriptions</w:t>
            </w:r>
          </w:p>
        </w:tc>
        <w:tc>
          <w:tcPr>
            <w:tcW w:w="0" w:type="auto"/>
            <w:tcBorders>
              <w:top w:val="single" w:sz="6" w:space="0" w:color="DDDBDA"/>
              <w:left w:val="nil"/>
              <w:bottom w:val="nil"/>
              <w:right w:val="nil"/>
            </w:tcBorders>
            <w:shd w:val="clear" w:color="auto" w:fill="FFFFFF"/>
            <w:vAlign w:val="bottom"/>
            <w:hideMark/>
          </w:tcPr>
          <w:p w14:paraId="07F4C225"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Quote Line</w:t>
            </w:r>
          </w:p>
          <w:p w14:paraId="53C8B937" w14:textId="77777777" w:rsidR="003416D6" w:rsidRPr="003416D6" w:rsidRDefault="003416D6" w:rsidP="003416D6">
            <w:pPr>
              <w:spacing w:after="0"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On amendment quotes, quote lines inherit twin field values from the first subscription record, not any amended subscriptions made from that record.</w:t>
            </w:r>
          </w:p>
        </w:tc>
      </w:tr>
      <w:tr w:rsidR="003416D6" w:rsidRPr="003416D6" w14:paraId="7EFD3107"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1661E3F3"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Contract Line Item</w:t>
            </w:r>
          </w:p>
        </w:tc>
        <w:tc>
          <w:tcPr>
            <w:tcW w:w="0" w:type="auto"/>
            <w:tcBorders>
              <w:top w:val="single" w:sz="6" w:space="0" w:color="DDDBDA"/>
              <w:left w:val="nil"/>
              <w:bottom w:val="nil"/>
              <w:right w:val="nil"/>
            </w:tcBorders>
            <w:shd w:val="clear" w:color="auto" w:fill="FFFFFF"/>
            <w:vAlign w:val="bottom"/>
            <w:hideMark/>
          </w:tcPr>
          <w:p w14:paraId="4472B100"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 Line</w:t>
            </w:r>
          </w:p>
        </w:tc>
      </w:tr>
      <w:tr w:rsidR="003416D6" w:rsidRPr="003416D6" w14:paraId="6F3C511D"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524EC630"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Order Product</w:t>
            </w:r>
          </w:p>
        </w:tc>
        <w:tc>
          <w:tcPr>
            <w:tcW w:w="0" w:type="auto"/>
            <w:tcBorders>
              <w:top w:val="single" w:sz="6" w:space="0" w:color="DDDBDA"/>
              <w:left w:val="nil"/>
              <w:bottom w:val="nil"/>
              <w:right w:val="nil"/>
            </w:tcBorders>
            <w:shd w:val="clear" w:color="auto" w:fill="FFFFFF"/>
            <w:vAlign w:val="bottom"/>
            <w:hideMark/>
          </w:tcPr>
          <w:p w14:paraId="331607F7"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Invoice Line</w:t>
            </w:r>
          </w:p>
        </w:tc>
      </w:tr>
      <w:tr w:rsidR="003416D6" w:rsidRPr="003416D6" w14:paraId="1D9A6329"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7800C330"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Asset</w:t>
            </w:r>
          </w:p>
        </w:tc>
        <w:tc>
          <w:tcPr>
            <w:tcW w:w="0" w:type="auto"/>
            <w:tcBorders>
              <w:top w:val="single" w:sz="6" w:space="0" w:color="DDDBDA"/>
              <w:left w:val="nil"/>
              <w:bottom w:val="nil"/>
              <w:right w:val="nil"/>
            </w:tcBorders>
            <w:shd w:val="clear" w:color="auto" w:fill="FFFFFF"/>
            <w:vAlign w:val="bottom"/>
            <w:hideMark/>
          </w:tcPr>
          <w:p w14:paraId="504CF9CE"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Quote Line</w:t>
            </w:r>
          </w:p>
          <w:p w14:paraId="341826EF" w14:textId="77777777" w:rsidR="003416D6" w:rsidRPr="003416D6" w:rsidRDefault="003416D6" w:rsidP="003416D6">
            <w:pPr>
              <w:spacing w:after="0"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Salesforce CPQ maps from the asset back to the quote line only during amendment and renewal processes when quote lines are generated from assets.</w:t>
            </w:r>
          </w:p>
        </w:tc>
      </w:tr>
    </w:tbl>
    <w:p w14:paraId="46DAE88C" w14:textId="77777777" w:rsidR="003416D6" w:rsidRPr="003416D6" w:rsidRDefault="003416D6" w:rsidP="003416D6">
      <w:pPr>
        <w:spacing w:before="100" w:beforeAutospacing="1" w:after="100" w:afterAutospacing="1" w:line="240" w:lineRule="auto"/>
        <w:textAlignment w:val="baseline"/>
        <w:outlineLvl w:val="1"/>
        <w:rPr>
          <w:rFonts w:ascii="Arial" w:eastAsia="Times New Roman" w:hAnsi="Arial" w:cs="Arial"/>
          <w:color w:val="333333"/>
          <w:sz w:val="36"/>
          <w:szCs w:val="36"/>
        </w:rPr>
      </w:pPr>
      <w:r w:rsidRPr="003416D6">
        <w:rPr>
          <w:rFonts w:ascii="Arial" w:eastAsia="Times New Roman" w:hAnsi="Arial" w:cs="Arial"/>
          <w:color w:val="333333"/>
          <w:sz w:val="36"/>
          <w:szCs w:val="36"/>
        </w:rPr>
        <w:t>Mapping in the Configurator</w:t>
      </w:r>
    </w:p>
    <w:p w14:paraId="571815BB"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Arial"/>
          <w:color w:val="333333"/>
          <w:sz w:val="21"/>
          <w:szCs w:val="21"/>
        </w:rPr>
      </w:pPr>
      <w:r w:rsidRPr="003416D6">
        <w:rPr>
          <w:rFonts w:ascii="inherit" w:eastAsia="Times New Roman" w:hAnsi="inherit" w:cs="Arial"/>
          <w:color w:val="333333"/>
          <w:sz w:val="21"/>
          <w:szCs w:val="21"/>
        </w:rPr>
        <w:t>When a bundle is configured, objects in Column 1 pass their custom field values to the resulting new quote lines. When you open the configurator to reconfigure the bundle, Salesforce CPQ sets product option and configuration attribute values based on matching field values from their related quote lines.</w:t>
      </w:r>
    </w:p>
    <w:tbl>
      <w:tblPr>
        <w:tblW w:w="0" w:type="auto"/>
        <w:tblCellSpacing w:w="15" w:type="dxa"/>
        <w:tblBorders>
          <w:top w:val="single" w:sz="6" w:space="0" w:color="DDDBDA"/>
          <w:bottom w:val="single" w:sz="6" w:space="0" w:color="DDDBDA"/>
        </w:tblBorders>
        <w:shd w:val="clear" w:color="auto" w:fill="FFFFFF"/>
        <w:tblCellMar>
          <w:left w:w="0" w:type="dxa"/>
          <w:right w:w="0" w:type="dxa"/>
        </w:tblCellMar>
        <w:tblLook w:val="04A0" w:firstRow="1" w:lastRow="0" w:firstColumn="1" w:lastColumn="0" w:noHBand="0" w:noVBand="1"/>
      </w:tblPr>
      <w:tblGrid>
        <w:gridCol w:w="1467"/>
        <w:gridCol w:w="7893"/>
      </w:tblGrid>
      <w:tr w:rsidR="003416D6" w:rsidRPr="003416D6" w14:paraId="38E1803D" w14:textId="77777777" w:rsidTr="003416D6">
        <w:trPr>
          <w:tblHeader/>
          <w:tblCellSpacing w:w="15" w:type="dxa"/>
        </w:trPr>
        <w:tc>
          <w:tcPr>
            <w:tcW w:w="0" w:type="auto"/>
            <w:tcBorders>
              <w:top w:val="nil"/>
              <w:left w:val="nil"/>
              <w:bottom w:val="nil"/>
              <w:right w:val="nil"/>
            </w:tcBorders>
            <w:shd w:val="clear" w:color="auto" w:fill="FAFAF9"/>
            <w:vAlign w:val="bottom"/>
            <w:hideMark/>
          </w:tcPr>
          <w:p w14:paraId="52067CBA" w14:textId="77777777" w:rsidR="003416D6" w:rsidRPr="003416D6" w:rsidRDefault="003416D6" w:rsidP="003416D6">
            <w:pPr>
              <w:spacing w:after="0" w:line="240" w:lineRule="auto"/>
              <w:rPr>
                <w:rFonts w:ascii="inherit" w:eastAsia="Times New Roman" w:hAnsi="inherit" w:cs="Times New Roman"/>
                <w:caps/>
                <w:color w:val="514F4D"/>
                <w:spacing w:val="15"/>
                <w:sz w:val="24"/>
                <w:szCs w:val="24"/>
              </w:rPr>
            </w:pPr>
            <w:r w:rsidRPr="003416D6">
              <w:rPr>
                <w:rFonts w:ascii="inherit" w:eastAsia="Times New Roman" w:hAnsi="inherit" w:cs="Times New Roman"/>
                <w:caps/>
                <w:color w:val="514F4D"/>
                <w:spacing w:val="15"/>
                <w:sz w:val="24"/>
                <w:szCs w:val="24"/>
              </w:rPr>
              <w:t>COLUMN 1</w:t>
            </w:r>
          </w:p>
        </w:tc>
        <w:tc>
          <w:tcPr>
            <w:tcW w:w="0" w:type="auto"/>
            <w:tcBorders>
              <w:top w:val="nil"/>
              <w:left w:val="nil"/>
              <w:bottom w:val="nil"/>
              <w:right w:val="nil"/>
            </w:tcBorders>
            <w:shd w:val="clear" w:color="auto" w:fill="FAFAF9"/>
            <w:vAlign w:val="bottom"/>
            <w:hideMark/>
          </w:tcPr>
          <w:p w14:paraId="5DEBC495" w14:textId="77777777" w:rsidR="003416D6" w:rsidRPr="003416D6" w:rsidRDefault="003416D6" w:rsidP="003416D6">
            <w:pPr>
              <w:spacing w:after="0" w:line="240" w:lineRule="auto"/>
              <w:rPr>
                <w:rFonts w:ascii="inherit" w:eastAsia="Times New Roman" w:hAnsi="inherit" w:cs="Times New Roman"/>
                <w:caps/>
                <w:color w:val="514F4D"/>
                <w:spacing w:val="15"/>
                <w:sz w:val="24"/>
                <w:szCs w:val="24"/>
              </w:rPr>
            </w:pPr>
            <w:r w:rsidRPr="003416D6">
              <w:rPr>
                <w:rFonts w:ascii="inherit" w:eastAsia="Times New Roman" w:hAnsi="inherit" w:cs="Times New Roman"/>
                <w:caps/>
                <w:color w:val="514F4D"/>
                <w:spacing w:val="15"/>
                <w:sz w:val="24"/>
                <w:szCs w:val="24"/>
              </w:rPr>
              <w:t>COLUMN 2</w:t>
            </w:r>
          </w:p>
        </w:tc>
      </w:tr>
      <w:tr w:rsidR="003416D6" w:rsidRPr="003416D6" w14:paraId="59E75DCD"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3E018485"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Configuration Attributes</w:t>
            </w:r>
          </w:p>
        </w:tc>
        <w:tc>
          <w:tcPr>
            <w:tcW w:w="0" w:type="auto"/>
            <w:tcBorders>
              <w:top w:val="single" w:sz="6" w:space="0" w:color="DDDBDA"/>
              <w:left w:val="nil"/>
              <w:bottom w:val="nil"/>
              <w:right w:val="nil"/>
            </w:tcBorders>
            <w:shd w:val="clear" w:color="auto" w:fill="FFFFFF"/>
            <w:vAlign w:val="bottom"/>
            <w:hideMark/>
          </w:tcPr>
          <w:p w14:paraId="5B45AC6B"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Quote Line</w:t>
            </w:r>
          </w:p>
          <w:p w14:paraId="1AF4775D" w14:textId="77777777" w:rsidR="003416D6" w:rsidRPr="003416D6" w:rsidRDefault="003416D6" w:rsidP="003416D6">
            <w:pPr>
              <w:spacing w:before="100" w:beforeAutospacing="1" w:after="100" w:afterAutospacing="1"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Configuration attributes always map to the bundle parent’s quote line. They map to the bundle’s child products only when the configuration attribute’s Apply to Product Options field is enabled. Mapping occurs only for quote lines that are product options of the bundle containing the configuration attribute.</w:t>
            </w:r>
          </w:p>
          <w:p w14:paraId="2F93F33E" w14:textId="77777777" w:rsidR="003416D6" w:rsidRPr="003416D6" w:rsidRDefault="003416D6" w:rsidP="003416D6">
            <w:pPr>
              <w:spacing w:after="0" w:line="240" w:lineRule="auto"/>
              <w:textAlignment w:val="baseline"/>
              <w:rPr>
                <w:rFonts w:ascii="inherit" w:eastAsia="Times New Roman" w:hAnsi="inherit" w:cs="Times New Roman"/>
                <w:sz w:val="20"/>
                <w:szCs w:val="20"/>
              </w:rPr>
            </w:pPr>
            <w:r w:rsidRPr="003416D6">
              <w:rPr>
                <w:rFonts w:ascii="inherit" w:eastAsia="Times New Roman" w:hAnsi="inherit" w:cs="Times New Roman"/>
                <w:sz w:val="20"/>
                <w:szCs w:val="20"/>
              </w:rPr>
              <w:t>Configuration attribute-to-quote line mapping includes quote line fields on segmented quote lines.</w:t>
            </w:r>
          </w:p>
        </w:tc>
      </w:tr>
      <w:tr w:rsidR="003416D6" w:rsidRPr="003416D6" w14:paraId="684547B7" w14:textId="77777777" w:rsidTr="003416D6">
        <w:trPr>
          <w:tblCellSpacing w:w="15" w:type="dxa"/>
        </w:trPr>
        <w:tc>
          <w:tcPr>
            <w:tcW w:w="0" w:type="auto"/>
            <w:tcBorders>
              <w:top w:val="single" w:sz="6" w:space="0" w:color="DDDBDA"/>
              <w:left w:val="nil"/>
              <w:bottom w:val="nil"/>
              <w:right w:val="nil"/>
            </w:tcBorders>
            <w:shd w:val="clear" w:color="auto" w:fill="FFFFFF"/>
            <w:vAlign w:val="bottom"/>
            <w:hideMark/>
          </w:tcPr>
          <w:p w14:paraId="1C0657DE"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Product options</w:t>
            </w:r>
          </w:p>
        </w:tc>
        <w:tc>
          <w:tcPr>
            <w:tcW w:w="0" w:type="auto"/>
            <w:tcBorders>
              <w:top w:val="single" w:sz="6" w:space="0" w:color="DDDBDA"/>
              <w:left w:val="nil"/>
              <w:bottom w:val="nil"/>
              <w:right w:val="nil"/>
            </w:tcBorders>
            <w:shd w:val="clear" w:color="auto" w:fill="FFFFFF"/>
            <w:vAlign w:val="bottom"/>
            <w:hideMark/>
          </w:tcPr>
          <w:p w14:paraId="3A65A3AF" w14:textId="77777777" w:rsidR="003416D6" w:rsidRPr="003416D6" w:rsidRDefault="003416D6" w:rsidP="003416D6">
            <w:pPr>
              <w:spacing w:after="0" w:line="240" w:lineRule="auto"/>
              <w:rPr>
                <w:rFonts w:ascii="inherit" w:eastAsia="Times New Roman" w:hAnsi="inherit" w:cs="Times New Roman"/>
                <w:sz w:val="20"/>
                <w:szCs w:val="20"/>
              </w:rPr>
            </w:pPr>
            <w:r w:rsidRPr="003416D6">
              <w:rPr>
                <w:rFonts w:ascii="inherit" w:eastAsia="Times New Roman" w:hAnsi="inherit" w:cs="Times New Roman"/>
                <w:sz w:val="20"/>
                <w:szCs w:val="20"/>
              </w:rPr>
              <w:t>Quote Line</w:t>
            </w:r>
          </w:p>
        </w:tc>
      </w:tr>
    </w:tbl>
    <w:p w14:paraId="44DD1AD6" w14:textId="6A61ACDE" w:rsidR="003416D6" w:rsidRPr="003416D6" w:rsidRDefault="003416D6" w:rsidP="003416D6">
      <w:pPr>
        <w:shd w:val="clear" w:color="auto" w:fill="F3F2F2"/>
        <w:spacing w:after="0" w:line="240" w:lineRule="auto"/>
        <w:textAlignment w:val="baseline"/>
        <w:rPr>
          <w:rFonts w:ascii="Arial" w:eastAsia="Times New Roman" w:hAnsi="Arial" w:cs="Arial"/>
          <w:color w:val="333333"/>
          <w:sz w:val="21"/>
          <w:szCs w:val="21"/>
        </w:rPr>
      </w:pPr>
      <w:r w:rsidRPr="003416D6">
        <w:rPr>
          <w:rFonts w:ascii="inherit" w:eastAsia="Times New Roman" w:hAnsi="inherit" w:cs="Arial"/>
          <w:noProof/>
          <w:color w:val="333333"/>
          <w:sz w:val="21"/>
          <w:szCs w:val="21"/>
          <w:bdr w:val="none" w:sz="0" w:space="0" w:color="auto" w:frame="1"/>
        </w:rPr>
        <w:drawing>
          <wp:inline distT="0" distB="0" distL="0" distR="0" wp14:anchorId="5E7AEFD1" wp14:editId="79346709">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5B5809" w14:textId="77777777" w:rsidR="003416D6" w:rsidRPr="003416D6" w:rsidRDefault="003416D6" w:rsidP="003416D6">
      <w:pPr>
        <w:shd w:val="clear" w:color="auto" w:fill="F3F2F2"/>
        <w:spacing w:after="0" w:line="240" w:lineRule="auto"/>
        <w:textAlignment w:val="baseline"/>
        <w:rPr>
          <w:rFonts w:ascii="inherit" w:eastAsia="Times New Roman" w:hAnsi="inherit" w:cs="Arial"/>
          <w:color w:val="333333"/>
          <w:sz w:val="21"/>
          <w:szCs w:val="21"/>
        </w:rPr>
      </w:pPr>
      <w:r w:rsidRPr="003416D6">
        <w:rPr>
          <w:rFonts w:ascii="inherit" w:eastAsia="Times New Roman" w:hAnsi="inherit" w:cs="Arial"/>
          <w:caps/>
          <w:color w:val="1E1E1E"/>
          <w:spacing w:val="15"/>
          <w:sz w:val="21"/>
          <w:szCs w:val="21"/>
          <w:bdr w:val="none" w:sz="0" w:space="0" w:color="auto" w:frame="1"/>
        </w:rPr>
        <w:t>NOTE</w:t>
      </w:r>
      <w:r w:rsidRPr="003416D6">
        <w:rPr>
          <w:rFonts w:ascii="inherit" w:eastAsia="Times New Roman" w:hAnsi="inherit" w:cs="Arial"/>
          <w:color w:val="333333"/>
          <w:sz w:val="21"/>
          <w:szCs w:val="21"/>
        </w:rPr>
        <w:t> If you make a bundle a Favorite and then add that favorite to the quote line editor, it won’t capture any twin field values.</w:t>
      </w:r>
    </w:p>
    <w:p w14:paraId="4E46291A" w14:textId="77777777" w:rsidR="00500648" w:rsidRDefault="00500648"/>
    <w:sectPr w:rsidR="0050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25784"/>
    <w:multiLevelType w:val="multilevel"/>
    <w:tmpl w:val="5280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31"/>
    <w:rsid w:val="003416D6"/>
    <w:rsid w:val="00500648"/>
    <w:rsid w:val="00A2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81A4D-49BD-47AA-B1F8-1AD6F29B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16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16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16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6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6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16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41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ds-text-titlecaps">
    <w:name w:val="slds-text-title_caps"/>
    <w:basedOn w:val="DefaultParagraphFont"/>
    <w:rsid w:val="00341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29292">
      <w:bodyDiv w:val="1"/>
      <w:marLeft w:val="0"/>
      <w:marRight w:val="0"/>
      <w:marTop w:val="0"/>
      <w:marBottom w:val="0"/>
      <w:divBdr>
        <w:top w:val="none" w:sz="0" w:space="0" w:color="auto"/>
        <w:left w:val="none" w:sz="0" w:space="0" w:color="auto"/>
        <w:bottom w:val="none" w:sz="0" w:space="0" w:color="auto"/>
        <w:right w:val="none" w:sz="0" w:space="0" w:color="auto"/>
      </w:divBdr>
      <w:divsChild>
        <w:div w:id="1379933207">
          <w:marLeft w:val="0"/>
          <w:marRight w:val="0"/>
          <w:marTop w:val="0"/>
          <w:marBottom w:val="0"/>
          <w:divBdr>
            <w:top w:val="none" w:sz="0" w:space="0" w:color="auto"/>
            <w:left w:val="none" w:sz="0" w:space="0" w:color="auto"/>
            <w:bottom w:val="none" w:sz="0" w:space="0" w:color="auto"/>
            <w:right w:val="none" w:sz="0" w:space="0" w:color="auto"/>
          </w:divBdr>
          <w:divsChild>
            <w:div w:id="1307784084">
              <w:marLeft w:val="0"/>
              <w:marRight w:val="0"/>
              <w:marTop w:val="0"/>
              <w:marBottom w:val="0"/>
              <w:divBdr>
                <w:top w:val="none" w:sz="0" w:space="0" w:color="auto"/>
                <w:left w:val="none" w:sz="0" w:space="0" w:color="auto"/>
                <w:bottom w:val="none" w:sz="0" w:space="0" w:color="auto"/>
                <w:right w:val="none" w:sz="0" w:space="0" w:color="auto"/>
              </w:divBdr>
            </w:div>
            <w:div w:id="2144031255">
              <w:marLeft w:val="0"/>
              <w:marRight w:val="0"/>
              <w:marTop w:val="0"/>
              <w:marBottom w:val="0"/>
              <w:divBdr>
                <w:top w:val="none" w:sz="0" w:space="0" w:color="auto"/>
                <w:left w:val="none" w:sz="0" w:space="0" w:color="auto"/>
                <w:bottom w:val="none" w:sz="0" w:space="0" w:color="auto"/>
                <w:right w:val="none" w:sz="0" w:space="0" w:color="auto"/>
              </w:divBdr>
              <w:divsChild>
                <w:div w:id="10826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5330">
          <w:marLeft w:val="0"/>
          <w:marRight w:val="0"/>
          <w:marTop w:val="0"/>
          <w:marBottom w:val="0"/>
          <w:divBdr>
            <w:top w:val="none" w:sz="0" w:space="0" w:color="auto"/>
            <w:left w:val="none" w:sz="0" w:space="0" w:color="auto"/>
            <w:bottom w:val="none" w:sz="0" w:space="0" w:color="auto"/>
            <w:right w:val="none" w:sz="0" w:space="0" w:color="auto"/>
          </w:divBdr>
          <w:divsChild>
            <w:div w:id="851409112">
              <w:marLeft w:val="0"/>
              <w:marRight w:val="0"/>
              <w:marTop w:val="0"/>
              <w:marBottom w:val="0"/>
              <w:divBdr>
                <w:top w:val="single" w:sz="6" w:space="0" w:color="DDDBDA"/>
                <w:left w:val="single" w:sz="6" w:space="0" w:color="DDDBDA"/>
                <w:bottom w:val="single" w:sz="6" w:space="0" w:color="DDDBDA"/>
                <w:right w:val="single" w:sz="6" w:space="0" w:color="DDDBDA"/>
              </w:divBdr>
              <w:divsChild>
                <w:div w:id="1418205877">
                  <w:marLeft w:val="0"/>
                  <w:marRight w:val="0"/>
                  <w:marTop w:val="0"/>
                  <w:marBottom w:val="0"/>
                  <w:divBdr>
                    <w:top w:val="none" w:sz="0" w:space="0" w:color="auto"/>
                    <w:left w:val="none" w:sz="0" w:space="0" w:color="auto"/>
                    <w:bottom w:val="none" w:sz="0" w:space="0" w:color="auto"/>
                    <w:right w:val="none" w:sz="0" w:space="0" w:color="auto"/>
                  </w:divBdr>
                  <w:divsChild>
                    <w:div w:id="960839144">
                      <w:marLeft w:val="0"/>
                      <w:marRight w:val="0"/>
                      <w:marTop w:val="0"/>
                      <w:marBottom w:val="0"/>
                      <w:divBdr>
                        <w:top w:val="none" w:sz="0" w:space="0" w:color="auto"/>
                        <w:left w:val="none" w:sz="0" w:space="0" w:color="auto"/>
                        <w:bottom w:val="none" w:sz="0" w:space="0" w:color="auto"/>
                        <w:right w:val="none" w:sz="0" w:space="0" w:color="auto"/>
                      </w:divBdr>
                    </w:div>
                    <w:div w:id="3284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24292">
          <w:marLeft w:val="0"/>
          <w:marRight w:val="0"/>
          <w:marTop w:val="0"/>
          <w:marBottom w:val="0"/>
          <w:divBdr>
            <w:top w:val="none" w:sz="0" w:space="0" w:color="auto"/>
            <w:left w:val="none" w:sz="0" w:space="0" w:color="auto"/>
            <w:bottom w:val="none" w:sz="0" w:space="0" w:color="auto"/>
            <w:right w:val="none" w:sz="0" w:space="0" w:color="auto"/>
          </w:divBdr>
          <w:divsChild>
            <w:div w:id="1700548252">
              <w:marLeft w:val="0"/>
              <w:marRight w:val="0"/>
              <w:marTop w:val="0"/>
              <w:marBottom w:val="0"/>
              <w:divBdr>
                <w:top w:val="single" w:sz="6" w:space="0" w:color="DDDBDA"/>
                <w:left w:val="single" w:sz="6" w:space="0" w:color="DDDBDA"/>
                <w:bottom w:val="single" w:sz="6" w:space="0" w:color="DDDBDA"/>
                <w:right w:val="single" w:sz="6" w:space="0" w:color="DDDBDA"/>
              </w:divBdr>
              <w:divsChild>
                <w:div w:id="1134441875">
                  <w:marLeft w:val="0"/>
                  <w:marRight w:val="0"/>
                  <w:marTop w:val="0"/>
                  <w:marBottom w:val="0"/>
                  <w:divBdr>
                    <w:top w:val="none" w:sz="0" w:space="0" w:color="auto"/>
                    <w:left w:val="none" w:sz="0" w:space="0" w:color="auto"/>
                    <w:bottom w:val="none" w:sz="0" w:space="0" w:color="auto"/>
                    <w:right w:val="none" w:sz="0" w:space="0" w:color="auto"/>
                  </w:divBdr>
                  <w:divsChild>
                    <w:div w:id="590627862">
                      <w:marLeft w:val="0"/>
                      <w:marRight w:val="0"/>
                      <w:marTop w:val="0"/>
                      <w:marBottom w:val="0"/>
                      <w:divBdr>
                        <w:top w:val="none" w:sz="0" w:space="0" w:color="auto"/>
                        <w:left w:val="none" w:sz="0" w:space="0" w:color="auto"/>
                        <w:bottom w:val="none" w:sz="0" w:space="0" w:color="auto"/>
                        <w:right w:val="none" w:sz="0" w:space="0" w:color="auto"/>
                      </w:divBdr>
                    </w:div>
                    <w:div w:id="39158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2021-02-10T09:50:00Z</dcterms:created>
  <dcterms:modified xsi:type="dcterms:W3CDTF">2021-02-10T09:52:00Z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2021-02-10T09:51:20Z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85eb5378-ea9a-4e76-9862-4ba0c09595a3</vt:lpwstr>
  </property>
  <property fmtid="{D5CDD505-2E9C-101B-9397-08002B2CF9AE}" pid="8" name="MSIP_Label_1bc0f418-96a4-4caf-9d7c-ccc5ec7f9d91_ContentBits">
    <vt:lpwstr>0</vt:lpwstr>
  </property>
</Properties>
</file>