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4E79"/>
          <w:sz w:val="52"/>
          <w:szCs w:val="52"/>
        </w:rPr>
        <w:t xml:space="preserve">RBI GUIDELINES</w:t>
      </w:r>
    </w:p>
    <w:p>
      <w:pPr>
        <w:spacing w:after="40" w:before="0"/>
        <w:jc w:val="center"/>
      </w:pPr>
      <w:r>
        <w:rPr>
          <w:rFonts w:ascii="Arial" w:cs="Arial" w:eastAsia="Arial" w:hAnsi="Arial"/>
          <w:b/>
          <w:bCs/>
          <w:color w:val="C55A11"/>
          <w:sz w:val="30"/>
          <w:szCs w:val="30"/>
        </w:rPr>
        <w:t xml:space="preserve">Zero Liability of a Customer for Unauthorized Electronic Banking Transactions</w:t>
      </w:r>
    </w:p>
    <w:p>
      <w:pPr>
        <w:spacing w:after="40" w:before="0"/>
        <w:jc w:val="center"/>
      </w:pPr>
      <w:r>
        <w:rPr>
          <w:rFonts w:ascii="Arial" w:cs="Arial" w:eastAsia="Arial" w:hAnsi="Arial"/>
          <w:color w:val="666666"/>
          <w:sz w:val="20"/>
          <w:szCs w:val="20"/>
        </w:rPr>
        <w:t xml:space="preserve">Master Direction | RBI Circular DBR.No.Leg.BC.78/09.07.005/2017-18 dated July 6, 2017</w:t>
      </w:r>
    </w:p>
    <w:p>
      <w:pPr>
        <w:spacing w:after="40" w:before="0"/>
        <w:jc w:val="center"/>
      </w:pPr>
      <w:r>
        <w:rPr>
          <w:rFonts w:ascii="Arial" w:cs="Arial" w:eastAsia="Arial" w:hAnsi="Arial"/>
          <w:i/>
          <w:iCs/>
          <w:color w:val="666666"/>
          <w:sz w:val="18"/>
          <w:szCs w:val="18"/>
        </w:rPr>
        <w:t xml:space="preserve">Applicable to: All Scheduled Commercial Banks (incl. RRBs), Small Finance Banks, Payments Banks, Co-operative Banks supervised by RBI</w:t>
      </w:r>
    </w:p>
    <w:p>
      <w:pPr>
        <w:spacing w:after="80" w:before="80"/>
      </w:pPr>
      <w:r>
        <w:t xml:space="preserve"/>
      </w:r>
    </w:p>
    <w:p>
      <w:pPr>
        <w:pStyle w:val="Heading1"/>
        <w:spacing w:after="120" w:before="360"/>
      </w:pPr>
      <w:r>
        <w:rPr>
          <w:rFonts w:ascii="Arial" w:cs="Arial" w:eastAsia="Arial" w:hAnsi="Arial"/>
          <w:b/>
          <w:bCs/>
          <w:color w:val="1F4E79"/>
          <w:sz w:val="36"/>
          <w:szCs w:val="36"/>
        </w:rPr>
        <w:t xml:space="preserve">1. Background and Purpose</w:t>
      </w:r>
    </w:p>
    <w:p>
      <w:pPr>
        <w:spacing w:after="60" w:before="60"/>
      </w:pPr>
      <w:r>
        <w:rPr>
          <w:rFonts w:ascii="Arial" w:cs="Arial" w:eastAsia="Arial" w:hAnsi="Arial"/>
          <w:sz w:val="22"/>
          <w:szCs w:val="22"/>
        </w:rPr>
        <w:t xml:space="preserve">The Reserve Bank of India (RBI) issued these guidelines to protect customers from financial losses arising out of unauthorized electronic transactions. The framework distributes liability based on where the fault lies — with the bank, a third party, or the customer — and mandates time-bound resolution.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r>
              <w:rPr>
                <w:rFonts w:ascii="Arial" w:cs="Arial" w:eastAsia="Arial" w:hAnsi="Arial"/>
                <w:b/>
                <w:bCs/>
                <w:sz w:val="22"/>
                <w:szCs w:val="22"/>
              </w:rPr>
              <w:t xml:space="preserve">CORE PRINCIPLE: A customer should not bear the loss if the fraud was not caused by their own negligence.</w:t>
            </w:r>
          </w:p>
        </w:tc>
      </w:tr>
    </w:tbl>
    <w:p>
      <w:pPr>
        <w:spacing w:after="80" w:before="80"/>
      </w:pPr>
      <w:r>
        <w:t xml:space="preserve"/>
      </w:r>
    </w:p>
    <w:p>
      <w:pPr>
        <w:pStyle w:val="Heading1"/>
        <w:spacing w:after="120" w:before="360"/>
      </w:pPr>
      <w:r>
        <w:rPr>
          <w:rFonts w:ascii="Arial" w:cs="Arial" w:eastAsia="Arial" w:hAnsi="Arial"/>
          <w:b/>
          <w:bCs/>
          <w:color w:val="1F4E79"/>
          <w:sz w:val="36"/>
          <w:szCs w:val="36"/>
        </w:rPr>
        <w:t xml:space="preserve">2. Key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Unauthorised Transaction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payment, transfer, withdrawal, or purchase initiated without the knowledge or consent of the account holder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Breach at Bank's End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deficiency, system failure, or negligence attributable to the bank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Third-Party Breach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Fraud caused by neither the bank nor the customer — e.g., a data breach at a payment network or merchant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 Negligence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Sharing credentials, PIN, OTP, CVV, password, or responding to phishing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Reporting Time (T)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date and time at which the customer notifies the bank of the fraud</w:t>
            </w:r>
          </w:p>
        </w:tc>
      </w:tr>
    </w:tbl>
    <w:p>
      <w:pPr>
        <w:spacing w:after="80" w:before="80"/>
      </w:pPr>
      <w:r>
        <w:t xml:space="preserve"/>
      </w:r>
    </w:p>
    <w:p>
      <w:pPr>
        <w:pStyle w:val="Heading1"/>
        <w:spacing w:after="120" w:before="360"/>
      </w:pPr>
      <w:r>
        <w:rPr>
          <w:rFonts w:ascii="Arial" w:cs="Arial" w:eastAsia="Arial" w:hAnsi="Arial"/>
          <w:b/>
          <w:bCs/>
          <w:color w:val="1F4E79"/>
          <w:sz w:val="36"/>
          <w:szCs w:val="36"/>
        </w:rPr>
        <w:t xml:space="preserve">3. The Zero Liability Rule — When It Applies</w:t>
      </w:r>
    </w:p>
    <w:p>
      <w:pPr>
        <w:pStyle w:val="Heading2"/>
        <w:spacing w:after="100" w:before="280"/>
      </w:pPr>
      <w:r>
        <w:rPr>
          <w:rFonts w:ascii="Arial" w:cs="Arial" w:eastAsia="Arial" w:hAnsi="Arial"/>
          <w:b/>
          <w:bCs/>
          <w:color w:val="1F4E79"/>
          <w:sz w:val="28"/>
          <w:szCs w:val="28"/>
        </w:rPr>
        <w:t xml:space="preserve">3.1 Bank's Fault — ZERO Liability (Always)</w:t>
      </w:r>
    </w:p>
    <w:p>
      <w:pPr>
        <w:spacing w:after="60" w:before="60"/>
      </w:pPr>
      <w:r>
        <w:rPr>
          <w:rFonts w:ascii="Arial" w:cs="Arial" w:eastAsia="Arial" w:hAnsi="Arial"/>
          <w:sz w:val="22"/>
          <w:szCs w:val="22"/>
        </w:rPr>
        <w:t xml:space="preserve">If the unauthorized transaction occurs due to a deficiency on the part of the bank (irrespective of whether it is reported by the customer or not), the customer has ZERO liability.</w:t>
      </w:r>
    </w:p>
    <w:p>
      <w:pPr>
        <w:spacing w:after="80" w:before="80"/>
      </w:pPr>
      <w:r>
        <w:t xml:space="preserve"/>
      </w:r>
    </w:p>
    <w:p>
      <w:pPr>
        <w:spacing w:after="80" w:before="200"/>
      </w:pPr>
      <w:r>
        <w:rPr>
          <w:rFonts w:ascii="Arial" w:cs="Arial" w:eastAsia="Arial" w:hAnsi="Arial"/>
          <w:b/>
          <w:bCs/>
          <w:color w:val="C55A11"/>
          <w:sz w:val="24"/>
          <w:szCs w:val="24"/>
        </w:rPr>
        <w:t xml:space="preserve">Examples of Bank-Side Fault:</w:t>
      </w:r>
    </w:p>
    <w:p>
      <w:pPr>
        <w:pStyle w:val="ListParagraph"/>
        <w:numPr>
          <w:ilvl w:val="0"/>
          <w:numId w:val="2"/>
        </w:numPr>
        <w:spacing w:after="40" w:before="40"/>
      </w:pPr>
      <w:r>
        <w:rPr>
          <w:rFonts w:ascii="Arial" w:cs="Arial" w:eastAsia="Arial" w:hAnsi="Arial"/>
          <w:sz w:val="22"/>
          <w:szCs w:val="22"/>
        </w:rPr>
        <w:t xml:space="preserve">Security breach in the bank's systems</w:t>
      </w:r>
    </w:p>
    <w:p>
      <w:pPr>
        <w:pStyle w:val="ListParagraph"/>
        <w:numPr>
          <w:ilvl w:val="0"/>
          <w:numId w:val="2"/>
        </w:numPr>
        <w:spacing w:after="40" w:before="40"/>
      </w:pPr>
      <w:r>
        <w:rPr>
          <w:rFonts w:ascii="Arial" w:cs="Arial" w:eastAsia="Arial" w:hAnsi="Arial"/>
          <w:sz w:val="22"/>
          <w:szCs w:val="22"/>
        </w:rPr>
        <w:t xml:space="preserve">Internal fraud by bank employees</w:t>
      </w:r>
    </w:p>
    <w:p>
      <w:pPr>
        <w:pStyle w:val="ListParagraph"/>
        <w:numPr>
          <w:ilvl w:val="0"/>
          <w:numId w:val="2"/>
        </w:numPr>
        <w:spacing w:after="40" w:before="40"/>
      </w:pPr>
      <w:r>
        <w:rPr>
          <w:rFonts w:ascii="Arial" w:cs="Arial" w:eastAsia="Arial" w:hAnsi="Arial"/>
          <w:sz w:val="22"/>
          <w:szCs w:val="22"/>
        </w:rPr>
        <w:t xml:space="preserve">Failure of bank's fraud detection systems</w:t>
      </w:r>
    </w:p>
    <w:p>
      <w:pPr>
        <w:pStyle w:val="ListParagraph"/>
        <w:numPr>
          <w:ilvl w:val="0"/>
          <w:numId w:val="2"/>
        </w:numPr>
        <w:spacing w:after="40" w:before="40"/>
      </w:pPr>
      <w:r>
        <w:rPr>
          <w:rFonts w:ascii="Arial" w:cs="Arial" w:eastAsia="Arial" w:hAnsi="Arial"/>
          <w:sz w:val="22"/>
          <w:szCs w:val="22"/>
        </w:rPr>
        <w:t xml:space="preserve">Technical errors leading to duplicate debits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r>
              <w:rPr>
                <w:rFonts w:ascii="Arial" w:cs="Arial" w:eastAsia="Arial" w:hAnsi="Arial"/>
                <w:b/>
                <w:bCs/>
                <w:sz w:val="22"/>
                <w:szCs w:val="22"/>
              </w:rPr>
              <w:t xml:space="preserve">RESULT: Customer bears NO loss in these cases, regardless of when it is reported.</w:t>
            </w:r>
          </w:p>
        </w:tc>
      </w:tr>
    </w:tbl>
    <w:p>
      <w:pPr>
        <w:spacing w:after="80" w:before="80"/>
      </w:pPr>
      <w:r>
        <w:t xml:space="preserve"/>
      </w:r>
    </w:p>
    <w:p>
      <w:pPr>
        <w:pStyle w:val="Heading2"/>
        <w:spacing w:after="100" w:before="280"/>
      </w:pPr>
      <w:r>
        <w:rPr>
          <w:rFonts w:ascii="Arial" w:cs="Arial" w:eastAsia="Arial" w:hAnsi="Arial"/>
          <w:b/>
          <w:bCs/>
          <w:color w:val="1F4E79"/>
          <w:sz w:val="28"/>
          <w:szCs w:val="28"/>
        </w:rPr>
        <w:t xml:space="preserve">3.2 Third-Party Fault + Timely Reporting — ZERO Liability</w:t>
      </w:r>
    </w:p>
    <w:p>
      <w:pPr>
        <w:spacing w:after="60" w:before="60"/>
      </w:pPr>
      <w:r>
        <w:rPr>
          <w:rFonts w:ascii="Arial" w:cs="Arial" w:eastAsia="Arial" w:hAnsi="Arial"/>
          <w:sz w:val="22"/>
          <w:szCs w:val="22"/>
        </w:rPr>
        <w:t xml:space="preserve">If the breach is at a third party (not the bank, not the customer) AND the customer reports the transaction promptly, the customer has ZERO liability.</w:t>
      </w:r>
    </w:p>
    <w:p>
      <w:pPr>
        <w:spacing w:after="80" w:before="80"/>
      </w:pPr>
      <w:r>
        <w:t xml:space="preserve"/>
      </w:r>
    </w:p>
    <w:p>
      <w:pPr>
        <w:spacing w:after="80" w:before="200"/>
      </w:pPr>
      <w:r>
        <w:rPr>
          <w:rFonts w:ascii="Arial" w:cs="Arial" w:eastAsia="Arial" w:hAnsi="Arial"/>
          <w:b/>
          <w:bCs/>
          <w:color w:val="C55A11"/>
          <w:sz w:val="24"/>
          <w:szCs w:val="24"/>
        </w:rPr>
        <w:t xml:space="preserve">Maximum Liability Based on Reporting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Reporting Time After Bank Communication</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Maximum Customer Liability</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Within 3 working days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(Rs. 0) — Full amount reversed</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Within 4-7 working days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Capped based on account type (see table below)</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Beyond 7 working days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 per bank's Board-approved policy</w:t>
            </w:r>
          </w:p>
        </w:tc>
      </w:tr>
    </w:tbl>
    <w:p>
      <w:pPr>
        <w:spacing w:after="80" w:before="80"/>
      </w:pPr>
      <w:r>
        <w:t xml:space="preserve"/>
      </w:r>
    </w:p>
    <w:p>
      <w:pPr>
        <w:spacing w:after="80" w:before="200"/>
      </w:pPr>
      <w:r>
        <w:rPr>
          <w:rFonts w:ascii="Arial" w:cs="Arial" w:eastAsia="Arial" w:hAnsi="Arial"/>
          <w:b/>
          <w:bCs/>
          <w:color w:val="C55A11"/>
          <w:sz w:val="24"/>
          <w:szCs w:val="24"/>
        </w:rPr>
        <w:t xml:space="preserve">Per-Transaction Caps When Reporting Within 4-7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Account / Card Type</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Maximum Customer Liability</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Basic Savings Bank Deposit (BSBD) Accounts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Rs. 5,000</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Other Savings Accounts, Pre-paid Payment Instruments, Credit Cards (limit up to Rs. 5 lakh)</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Rs. 10,000</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Credit Cards (limit above Rs. 5 lakh), Cash Credit, Current/Overdraft Accounts (turnover up to Rs. 25 lakh)</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Rs. 25,000</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Credit Cards (limit above Rs. 5 lakh), Cash Credit, Current/Overdraft Accounts (turnover above Rs. 25 lakh)</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Rs. 25,000</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E7" w:val="clear"/>
            <w:tcMar>
              <w:top w:type="dxa" w:w="120"/>
              <w:left w:type="dxa" w:w="200"/>
              <w:bottom w:type="dxa" w:w="120"/>
              <w:right w:type="dxa" w:w="200"/>
            </w:tcMar>
          </w:tcPr>
          <w:p>
            <w:r>
              <w:rPr>
                <w:rFonts w:ascii="Arial" w:cs="Arial" w:eastAsia="Arial" w:hAnsi="Arial"/>
                <w:b/>
                <w:bCs/>
                <w:sz w:val="22"/>
                <w:szCs w:val="22"/>
              </w:rPr>
              <w:t xml:space="preserve">NOTE: 'Communication from bank' means the SMS/email alert sent by the bank regarding the transaction — NOT the date the customer independently discovers it.</w:t>
            </w:r>
          </w:p>
        </w:tc>
      </w:tr>
    </w:tbl>
    <w:p>
      <w:pPr>
        <w:spacing w:after="80" w:before="80"/>
      </w:pPr>
      <w:r>
        <w:t xml:space="preserve"/>
      </w:r>
    </w:p>
    <w:p>
      <w:pPr>
        <w:pStyle w:val="Heading2"/>
        <w:spacing w:after="100" w:before="280"/>
      </w:pPr>
      <w:r>
        <w:rPr>
          <w:rFonts w:ascii="Arial" w:cs="Arial" w:eastAsia="Arial" w:hAnsi="Arial"/>
          <w:b/>
          <w:bCs/>
          <w:color w:val="1F4E79"/>
          <w:sz w:val="28"/>
          <w:szCs w:val="28"/>
        </w:rPr>
        <w:t xml:space="preserve">3.3 Customer's Own Negligence — Full Liability</w:t>
      </w:r>
    </w:p>
    <w:p>
      <w:pPr>
        <w:spacing w:after="60" w:before="60"/>
      </w:pPr>
      <w:r>
        <w:rPr>
          <w:rFonts w:ascii="Arial" w:cs="Arial" w:eastAsia="Arial" w:hAnsi="Arial"/>
          <w:sz w:val="22"/>
          <w:szCs w:val="22"/>
        </w:rPr>
        <w:t xml:space="preserve">If the unauthorized transaction occurs due to the negligence of the customer, the customer bears the FULL LOSS. The bank is not liable.</w:t>
      </w:r>
    </w:p>
    <w:p>
      <w:pPr>
        <w:spacing w:after="80" w:before="80"/>
      </w:pPr>
      <w:r>
        <w:t xml:space="preserve"/>
      </w:r>
    </w:p>
    <w:p>
      <w:pPr>
        <w:spacing w:after="80" w:before="200"/>
      </w:pPr>
      <w:r>
        <w:rPr>
          <w:rFonts w:ascii="Arial" w:cs="Arial" w:eastAsia="Arial" w:hAnsi="Arial"/>
          <w:b/>
          <w:bCs/>
          <w:color w:val="C55A11"/>
          <w:sz w:val="24"/>
          <w:szCs w:val="24"/>
        </w:rPr>
        <w:t xml:space="preserve">Negligence Includes:</w:t>
      </w:r>
    </w:p>
    <w:p>
      <w:pPr>
        <w:pStyle w:val="ListParagraph"/>
        <w:numPr>
          <w:ilvl w:val="0"/>
          <w:numId w:val="2"/>
        </w:numPr>
        <w:spacing w:after="40" w:before="40"/>
      </w:pPr>
      <w:r>
        <w:rPr>
          <w:rFonts w:ascii="Arial" w:cs="Arial" w:eastAsia="Arial" w:hAnsi="Arial"/>
          <w:sz w:val="22"/>
          <w:szCs w:val="22"/>
        </w:rPr>
        <w:t xml:space="preserve">Sharing OTP with anyone (family, 'bank officials,' strangers)</w:t>
      </w:r>
    </w:p>
    <w:p>
      <w:pPr>
        <w:pStyle w:val="ListParagraph"/>
        <w:numPr>
          <w:ilvl w:val="0"/>
          <w:numId w:val="2"/>
        </w:numPr>
        <w:spacing w:after="40" w:before="40"/>
      </w:pPr>
      <w:r>
        <w:rPr>
          <w:rFonts w:ascii="Arial" w:cs="Arial" w:eastAsia="Arial" w:hAnsi="Arial"/>
          <w:sz w:val="22"/>
          <w:szCs w:val="22"/>
        </w:rPr>
        <w:t xml:space="preserve">Clicking phishing links and entering credentials</w:t>
      </w:r>
    </w:p>
    <w:p>
      <w:pPr>
        <w:pStyle w:val="ListParagraph"/>
        <w:numPr>
          <w:ilvl w:val="0"/>
          <w:numId w:val="2"/>
        </w:numPr>
        <w:spacing w:after="40" w:before="40"/>
      </w:pPr>
      <w:r>
        <w:rPr>
          <w:rFonts w:ascii="Arial" w:cs="Arial" w:eastAsia="Arial" w:hAnsi="Arial"/>
          <w:sz w:val="22"/>
          <w:szCs w:val="22"/>
        </w:rPr>
        <w:t xml:space="preserve">Writing down PINs or passwords</w:t>
      </w:r>
    </w:p>
    <w:p>
      <w:pPr>
        <w:pStyle w:val="ListParagraph"/>
        <w:numPr>
          <w:ilvl w:val="0"/>
          <w:numId w:val="2"/>
        </w:numPr>
        <w:spacing w:after="40" w:before="40"/>
      </w:pPr>
      <w:r>
        <w:rPr>
          <w:rFonts w:ascii="Arial" w:cs="Arial" w:eastAsia="Arial" w:hAnsi="Arial"/>
          <w:sz w:val="22"/>
          <w:szCs w:val="22"/>
        </w:rPr>
        <w:t xml:space="preserve">Sharing CVV, card number, expiry date</w:t>
      </w:r>
    </w:p>
    <w:p>
      <w:pPr>
        <w:pStyle w:val="ListParagraph"/>
        <w:numPr>
          <w:ilvl w:val="0"/>
          <w:numId w:val="2"/>
        </w:numPr>
        <w:spacing w:after="40" w:before="40"/>
      </w:pPr>
      <w:r>
        <w:rPr>
          <w:rFonts w:ascii="Arial" w:cs="Arial" w:eastAsia="Arial" w:hAnsi="Arial"/>
          <w:sz w:val="22"/>
          <w:szCs w:val="22"/>
        </w:rPr>
        <w:t xml:space="preserve">Responding to vishing (voice phishing) calls and revealing account details</w:t>
      </w:r>
    </w:p>
    <w:p>
      <w:pPr>
        <w:pStyle w:val="ListParagraph"/>
        <w:numPr>
          <w:ilvl w:val="0"/>
          <w:numId w:val="2"/>
        </w:numPr>
        <w:spacing w:after="40" w:before="40"/>
      </w:pPr>
      <w:r>
        <w:rPr>
          <w:rFonts w:ascii="Arial" w:cs="Arial" w:eastAsia="Arial" w:hAnsi="Arial"/>
          <w:sz w:val="22"/>
          <w:szCs w:val="22"/>
        </w:rPr>
        <w:t xml:space="preserve">Installing unknown apps that have screen access</w:t>
      </w:r>
    </w:p>
    <w:p>
      <w:pPr>
        <w:pStyle w:val="ListParagraph"/>
        <w:numPr>
          <w:ilvl w:val="0"/>
          <w:numId w:val="2"/>
        </w:numPr>
        <w:spacing w:after="40" w:before="40"/>
      </w:pPr>
      <w:r>
        <w:rPr>
          <w:rFonts w:ascii="Arial" w:cs="Arial" w:eastAsia="Arial" w:hAnsi="Arial"/>
          <w:sz w:val="22"/>
          <w:szCs w:val="22"/>
        </w:rPr>
        <w:t xml:space="preserve">Ignoring fraud alerts and not acting on them</w:t>
      </w:r>
    </w:p>
    <w:p>
      <w:pPr>
        <w:spacing w:after="80" w:before="80"/>
      </w:pPr>
      <w:r>
        <w:t xml:space="preserve"/>
      </w:r>
    </w:p>
    <w:p>
      <w:pPr>
        <w:pStyle w:val="Heading1"/>
        <w:spacing w:after="120" w:before="360"/>
      </w:pPr>
      <w:r>
        <w:rPr>
          <w:rFonts w:ascii="Arial" w:cs="Arial" w:eastAsia="Arial" w:hAnsi="Arial"/>
          <w:b/>
          <w:bCs/>
          <w:color w:val="1F4E79"/>
          <w:sz w:val="36"/>
          <w:szCs w:val="36"/>
        </w:rPr>
        <w:t xml:space="preserve">4. Reversal Timelines — Bank's Obligation</w:t>
      </w:r>
    </w:p>
    <w:p>
      <w:pPr>
        <w:spacing w:after="60" w:before="60"/>
      </w:pPr>
      <w:r>
        <w:rPr>
          <w:rFonts w:ascii="Arial" w:cs="Arial" w:eastAsia="Arial" w:hAnsi="Arial"/>
          <w:sz w:val="22"/>
          <w:szCs w:val="22"/>
        </w:rPr>
        <w:t xml:space="preserve">Once a customer reports an unauthorized transaction, the bank must provisionally credit the amount within the following timelines: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Credit to Account Within</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liability cases (bank's fault or third-party fault, reported on time)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working days of reporting</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Cases where investigation is needed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working days (provisional), final resolution within 90 days</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bank fails to resolve within 90 days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Compensate customer as per RBI guidelines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r>
              <w:rPr>
                <w:rFonts w:ascii="Arial" w:cs="Arial" w:eastAsia="Arial" w:hAnsi="Arial"/>
                <w:b/>
                <w:bCs/>
                <w:sz w:val="22"/>
                <w:szCs w:val="22"/>
              </w:rPr>
              <w:t xml:space="preserve">SHADOW REVERSAL: The bank must provisionally credit the disputed amount to the customer's account within 10 working days, even before the investigation is complete. The customer has access to these funds during the investigation.</w:t>
            </w:r>
          </w:p>
        </w:tc>
      </w:tr>
    </w:tbl>
    <w:p>
      <w:pPr>
        <w:spacing w:after="80" w:before="80"/>
      </w:pPr>
      <w:r>
        <w:t xml:space="preserve"/>
      </w:r>
    </w:p>
    <w:p>
      <w:pPr>
        <w:pStyle w:val="Heading1"/>
        <w:spacing w:after="120" w:before="360"/>
      </w:pPr>
      <w:r>
        <w:rPr>
          <w:rFonts w:ascii="Arial" w:cs="Arial" w:eastAsia="Arial" w:hAnsi="Arial"/>
          <w:b/>
          <w:bCs/>
          <w:color w:val="1F4E79"/>
          <w:sz w:val="36"/>
          <w:szCs w:val="36"/>
        </w:rPr>
        <w:t xml:space="preserve">5. Notification and Reporting Obligations</w:t>
      </w:r>
    </w:p>
    <w:p>
      <w:pPr>
        <w:pStyle w:val="Heading2"/>
        <w:spacing w:after="100" w:before="280"/>
      </w:pPr>
      <w:r>
        <w:rPr>
          <w:rFonts w:ascii="Arial" w:cs="Arial" w:eastAsia="Arial" w:hAnsi="Arial"/>
          <w:b/>
          <w:bCs/>
          <w:color w:val="1F4E79"/>
          <w:sz w:val="28"/>
          <w:szCs w:val="28"/>
        </w:rPr>
        <w:t xml:space="preserve">5.1 Bank's Obligations to the Customer</w:t>
      </w:r>
    </w:p>
    <w:p>
      <w:pPr>
        <w:pStyle w:val="ListParagraph"/>
        <w:numPr>
          <w:ilvl w:val="0"/>
          <w:numId w:val="3"/>
        </w:numPr>
        <w:spacing w:after="40" w:before="40"/>
      </w:pPr>
      <w:r>
        <w:rPr>
          <w:rFonts w:ascii="Arial" w:cs="Arial" w:eastAsia="Arial" w:hAnsi="Arial"/>
          <w:sz w:val="22"/>
          <w:szCs w:val="22"/>
        </w:rPr>
        <w:t xml:space="preserve">Register the customer's mobile number mandatorily for SMS alerts</w:t>
      </w:r>
    </w:p>
    <w:p>
      <w:pPr>
        <w:pStyle w:val="ListParagraph"/>
        <w:numPr>
          <w:ilvl w:val="0"/>
          <w:numId w:val="3"/>
        </w:numPr>
        <w:spacing w:after="40" w:before="40"/>
      </w:pPr>
      <w:r>
        <w:rPr>
          <w:rFonts w:ascii="Arial" w:cs="Arial" w:eastAsia="Arial" w:hAnsi="Arial"/>
          <w:sz w:val="22"/>
          <w:szCs w:val="22"/>
        </w:rPr>
        <w:t xml:space="preserve">Send real-time alerts (SMS + email where registered) for all electronic transactions</w:t>
      </w:r>
    </w:p>
    <w:p>
      <w:pPr>
        <w:pStyle w:val="ListParagraph"/>
        <w:numPr>
          <w:ilvl w:val="0"/>
          <w:numId w:val="3"/>
        </w:numPr>
        <w:spacing w:after="40" w:before="40"/>
      </w:pPr>
      <w:r>
        <w:rPr>
          <w:rFonts w:ascii="Arial" w:cs="Arial" w:eastAsia="Arial" w:hAnsi="Arial"/>
          <w:sz w:val="22"/>
          <w:szCs w:val="22"/>
        </w:rPr>
        <w:t xml:space="preserve">Provide a 24x7 hotline/toll-free number for reporting unauthorized transactions</w:t>
      </w:r>
    </w:p>
    <w:p>
      <w:pPr>
        <w:pStyle w:val="ListParagraph"/>
        <w:numPr>
          <w:ilvl w:val="0"/>
          <w:numId w:val="3"/>
        </w:numPr>
        <w:spacing w:after="40" w:before="40"/>
      </w:pPr>
      <w:r>
        <w:rPr>
          <w:rFonts w:ascii="Arial" w:cs="Arial" w:eastAsia="Arial" w:hAnsi="Arial"/>
          <w:sz w:val="22"/>
          <w:szCs w:val="22"/>
        </w:rPr>
        <w:t xml:space="preserve">Offer online portal/app for immediate reporting</w:t>
      </w:r>
    </w:p>
    <w:p>
      <w:pPr>
        <w:pStyle w:val="ListParagraph"/>
        <w:numPr>
          <w:ilvl w:val="0"/>
          <w:numId w:val="3"/>
        </w:numPr>
        <w:spacing w:after="40" w:before="40"/>
      </w:pPr>
      <w:r>
        <w:rPr>
          <w:rFonts w:ascii="Arial" w:cs="Arial" w:eastAsia="Arial" w:hAnsi="Arial"/>
          <w:sz w:val="22"/>
          <w:szCs w:val="22"/>
        </w:rPr>
        <w:t xml:space="preserve">Provide acknowledgment of every complaint with a unique reference number</w:t>
      </w:r>
    </w:p>
    <w:p>
      <w:pPr>
        <w:spacing w:after="80" w:before="80"/>
      </w:pPr>
      <w:r>
        <w:t xml:space="preserve"/>
      </w:r>
    </w:p>
    <w:p>
      <w:pPr>
        <w:pStyle w:val="Heading2"/>
        <w:spacing w:after="100" w:before="280"/>
      </w:pPr>
      <w:r>
        <w:rPr>
          <w:rFonts w:ascii="Arial" w:cs="Arial" w:eastAsia="Arial" w:hAnsi="Arial"/>
          <w:b/>
          <w:bCs/>
          <w:color w:val="1F4E79"/>
          <w:sz w:val="28"/>
          <w:szCs w:val="28"/>
        </w:rPr>
        <w:t xml:space="preserve">5.2 Customer's Obligations</w:t>
      </w:r>
    </w:p>
    <w:p>
      <w:pPr>
        <w:pStyle w:val="ListParagraph"/>
        <w:numPr>
          <w:ilvl w:val="0"/>
          <w:numId w:val="3"/>
        </w:numPr>
        <w:spacing w:after="40" w:before="40"/>
      </w:pPr>
      <w:r>
        <w:rPr>
          <w:rFonts w:ascii="Arial" w:cs="Arial" w:eastAsia="Arial" w:hAnsi="Arial"/>
          <w:sz w:val="22"/>
          <w:szCs w:val="22"/>
        </w:rPr>
        <w:t xml:space="preserve">Report immediately upon noticing or receiving alert of an unauthorized transaction</w:t>
      </w:r>
    </w:p>
    <w:p>
      <w:pPr>
        <w:pStyle w:val="ListParagraph"/>
        <w:numPr>
          <w:ilvl w:val="0"/>
          <w:numId w:val="3"/>
        </w:numPr>
        <w:spacing w:after="40" w:before="40"/>
      </w:pPr>
      <w:r>
        <w:rPr>
          <w:rFonts w:ascii="Arial" w:cs="Arial" w:eastAsia="Arial" w:hAnsi="Arial"/>
          <w:sz w:val="22"/>
          <w:szCs w:val="22"/>
        </w:rPr>
        <w:t xml:space="preserve">Use any available channel: bank app, website, phone banking, branch visit, or written complaint</w:t>
      </w:r>
    </w:p>
    <w:p>
      <w:pPr>
        <w:pStyle w:val="ListParagraph"/>
        <w:numPr>
          <w:ilvl w:val="0"/>
          <w:numId w:val="3"/>
        </w:numPr>
        <w:spacing w:after="40" w:before="40"/>
      </w:pPr>
      <w:r>
        <w:rPr>
          <w:rFonts w:ascii="Arial" w:cs="Arial" w:eastAsia="Arial" w:hAnsi="Arial"/>
          <w:sz w:val="22"/>
          <w:szCs w:val="22"/>
        </w:rPr>
        <w:t xml:space="preserve">Keep a record of the complaint reference number</w:t>
      </w:r>
    </w:p>
    <w:p>
      <w:pPr>
        <w:pStyle w:val="ListParagraph"/>
        <w:numPr>
          <w:ilvl w:val="0"/>
          <w:numId w:val="3"/>
        </w:numPr>
        <w:spacing w:after="40" w:before="40"/>
      </w:pPr>
      <w:r>
        <w:rPr>
          <w:rFonts w:ascii="Arial" w:cs="Arial" w:eastAsia="Arial" w:hAnsi="Arial"/>
          <w:sz w:val="22"/>
          <w:szCs w:val="22"/>
        </w:rPr>
        <w:t xml:space="preserve">Cooperate with the bank's investigation</w:t>
      </w:r>
    </w:p>
    <w:p>
      <w:pPr>
        <w:spacing w:after="80" w:before="80"/>
      </w:pPr>
      <w:r>
        <w:t xml:space="preserve"/>
      </w:r>
    </w:p>
    <w:p>
      <w:pPr>
        <w:pStyle w:val="Heading1"/>
        <w:spacing w:after="120" w:before="360"/>
      </w:pPr>
      <w:r>
        <w:rPr>
          <w:rFonts w:ascii="Arial" w:cs="Arial" w:eastAsia="Arial" w:hAnsi="Arial"/>
          <w:b/>
          <w:bCs/>
          <w:color w:val="1F4E79"/>
          <w:sz w:val="36"/>
          <w:szCs w:val="36"/>
        </w:rPr>
        <w:t xml:space="preserve">6. Complaint Resolution Framework</w:t>
      </w:r>
    </w:p>
    <w:p>
      <w:pPr>
        <w:pStyle w:val="Heading2"/>
        <w:spacing w:after="100" w:before="280"/>
      </w:pPr>
      <w:r>
        <w:rPr>
          <w:rFonts w:ascii="Arial" w:cs="Arial" w:eastAsia="Arial" w:hAnsi="Arial"/>
          <w:b/>
          <w:bCs/>
          <w:color w:val="1F4E79"/>
          <w:sz w:val="28"/>
          <w:szCs w:val="28"/>
        </w:rPr>
        <w:t xml:space="preserve">Step 1: Report to Bank</w:t>
      </w:r>
    </w:p>
    <w:p>
      <w:pPr>
        <w:pStyle w:val="ListParagraph"/>
        <w:numPr>
          <w:ilvl w:val="0"/>
          <w:numId w:val="2"/>
        </w:numPr>
        <w:spacing w:after="40" w:before="40"/>
      </w:pPr>
      <w:r>
        <w:rPr>
          <w:rFonts w:ascii="Arial" w:cs="Arial" w:eastAsia="Arial" w:hAnsi="Arial"/>
          <w:sz w:val="22"/>
          <w:szCs w:val="22"/>
        </w:rPr>
        <w:t xml:space="preserve">Call the bank's 24x7 fraud helpline immediately</w:t>
      </w:r>
    </w:p>
    <w:p>
      <w:pPr>
        <w:pStyle w:val="ListParagraph"/>
        <w:numPr>
          <w:ilvl w:val="0"/>
          <w:numId w:val="2"/>
        </w:numPr>
        <w:spacing w:after="40" w:before="40"/>
      </w:pPr>
      <w:r>
        <w:rPr>
          <w:rFonts w:ascii="Arial" w:cs="Arial" w:eastAsia="Arial" w:hAnsi="Arial"/>
          <w:sz w:val="22"/>
          <w:szCs w:val="22"/>
        </w:rPr>
        <w:t xml:space="preserve">Block the card/account if needed</w:t>
      </w:r>
    </w:p>
    <w:p>
      <w:pPr>
        <w:pStyle w:val="ListParagraph"/>
        <w:numPr>
          <w:ilvl w:val="0"/>
          <w:numId w:val="2"/>
        </w:numPr>
        <w:spacing w:after="40" w:before="40"/>
      </w:pPr>
      <w:r>
        <w:rPr>
          <w:rFonts w:ascii="Arial" w:cs="Arial" w:eastAsia="Arial" w:hAnsi="Arial"/>
          <w:sz w:val="22"/>
          <w:szCs w:val="22"/>
        </w:rPr>
        <w:t xml:space="preserve">Get a complaint reference number</w:t>
      </w:r>
    </w:p>
    <w:p>
      <w:pPr>
        <w:spacing w:after="80" w:before="80"/>
      </w:pPr>
      <w:r>
        <w:t xml:space="preserve"/>
      </w:r>
    </w:p>
    <w:p>
      <w:pPr>
        <w:pStyle w:val="Heading2"/>
        <w:spacing w:after="100" w:before="280"/>
      </w:pPr>
      <w:r>
        <w:rPr>
          <w:rFonts w:ascii="Arial" w:cs="Arial" w:eastAsia="Arial" w:hAnsi="Arial"/>
          <w:b/>
          <w:bCs/>
          <w:color w:val="1F4E79"/>
          <w:sz w:val="28"/>
          <w:szCs w:val="28"/>
        </w:rPr>
        <w:t xml:space="preserve">Step 2: Bank Investigation</w:t>
      </w:r>
    </w:p>
    <w:p>
      <w:pPr>
        <w:pStyle w:val="ListParagraph"/>
        <w:numPr>
          <w:ilvl w:val="0"/>
          <w:numId w:val="2"/>
        </w:numPr>
        <w:spacing w:after="40" w:before="40"/>
      </w:pPr>
      <w:r>
        <w:rPr>
          <w:rFonts w:ascii="Arial" w:cs="Arial" w:eastAsia="Arial" w:hAnsi="Arial"/>
          <w:sz w:val="22"/>
          <w:szCs w:val="22"/>
        </w:rPr>
        <w:t xml:space="preserve">Bank investigates within 90 days</w:t>
      </w:r>
    </w:p>
    <w:p>
      <w:pPr>
        <w:pStyle w:val="ListParagraph"/>
        <w:numPr>
          <w:ilvl w:val="0"/>
          <w:numId w:val="2"/>
        </w:numPr>
        <w:spacing w:after="40" w:before="40"/>
      </w:pPr>
      <w:r>
        <w:rPr>
          <w:rFonts w:ascii="Arial" w:cs="Arial" w:eastAsia="Arial" w:hAnsi="Arial"/>
          <w:sz w:val="22"/>
          <w:szCs w:val="22"/>
        </w:rPr>
        <w:t xml:space="preserve">Provisional credit within 10 working days</w:t>
      </w:r>
    </w:p>
    <w:p>
      <w:pPr>
        <w:pStyle w:val="ListParagraph"/>
        <w:numPr>
          <w:ilvl w:val="0"/>
          <w:numId w:val="2"/>
        </w:numPr>
        <w:spacing w:after="40" w:before="40"/>
      </w:pPr>
      <w:r>
        <w:rPr>
          <w:rFonts w:ascii="Arial" w:cs="Arial" w:eastAsia="Arial" w:hAnsi="Arial"/>
          <w:sz w:val="22"/>
          <w:szCs w:val="22"/>
        </w:rPr>
        <w:t xml:space="preserve">Customer must provide: transaction date, amount, nature of fraud</w:t>
      </w:r>
    </w:p>
    <w:p>
      <w:pPr>
        <w:spacing w:after="80" w:before="80"/>
      </w:pPr>
      <w:r>
        <w:t xml:space="preserve"/>
      </w:r>
    </w:p>
    <w:p>
      <w:pPr>
        <w:pStyle w:val="Heading2"/>
        <w:spacing w:after="100" w:before="280"/>
      </w:pPr>
      <w:r>
        <w:rPr>
          <w:rFonts w:ascii="Arial" w:cs="Arial" w:eastAsia="Arial" w:hAnsi="Arial"/>
          <w:b/>
          <w:bCs/>
          <w:color w:val="1F4E79"/>
          <w:sz w:val="28"/>
          <w:szCs w:val="28"/>
        </w:rPr>
        <w:t xml:space="preserve">Step 3: Escalation (if bank doesn't resolve)</w:t>
      </w:r>
    </w:p>
    <w:p>
      <w:pPr>
        <w:pStyle w:val="ListParagraph"/>
        <w:numPr>
          <w:ilvl w:val="0"/>
          <w:numId w:val="2"/>
        </w:numPr>
        <w:spacing w:after="40" w:before="40"/>
      </w:pPr>
      <w:r>
        <w:rPr>
          <w:rFonts w:ascii="Arial" w:cs="Arial" w:eastAsia="Arial" w:hAnsi="Arial"/>
          <w:sz w:val="22"/>
          <w:szCs w:val="22"/>
        </w:rPr>
        <w:t xml:space="preserve">File complaint at Banking Ombudsman (RBI's grievance redressal system)</w:t>
      </w:r>
    </w:p>
    <w:p>
      <w:pPr>
        <w:pStyle w:val="ListParagraph"/>
        <w:numPr>
          <w:ilvl w:val="0"/>
          <w:numId w:val="2"/>
        </w:numPr>
        <w:spacing w:after="40" w:before="40"/>
      </w:pPr>
      <w:r>
        <w:rPr>
          <w:rFonts w:ascii="Arial" w:cs="Arial" w:eastAsia="Arial" w:hAnsi="Arial"/>
          <w:sz w:val="22"/>
          <w:szCs w:val="22"/>
        </w:rPr>
        <w:t xml:space="preserve">Online portal: https://cms.rbi.org.in</w:t>
      </w:r>
    </w:p>
    <w:p>
      <w:pPr>
        <w:pStyle w:val="ListParagraph"/>
        <w:numPr>
          <w:ilvl w:val="0"/>
          <w:numId w:val="2"/>
        </w:numPr>
        <w:spacing w:after="40" w:before="40"/>
      </w:pPr>
      <w:r>
        <w:rPr>
          <w:rFonts w:ascii="Arial" w:cs="Arial" w:eastAsia="Arial" w:hAnsi="Arial"/>
          <w:sz w:val="22"/>
          <w:szCs w:val="22"/>
        </w:rPr>
        <w:t xml:space="preserve">No fee for filing — covers all scheduled commercial banks</w:t>
      </w:r>
    </w:p>
    <w:p>
      <w:pPr>
        <w:spacing w:after="80" w:before="80"/>
      </w:pPr>
      <w:r>
        <w:t xml:space="preserve"/>
      </w:r>
    </w:p>
    <w:p>
      <w:pPr>
        <w:pStyle w:val="Heading2"/>
        <w:spacing w:after="100" w:before="280"/>
      </w:pPr>
      <w:r>
        <w:rPr>
          <w:rFonts w:ascii="Arial" w:cs="Arial" w:eastAsia="Arial" w:hAnsi="Arial"/>
          <w:b/>
          <w:bCs/>
          <w:color w:val="1F4E79"/>
          <w:sz w:val="28"/>
          <w:szCs w:val="28"/>
        </w:rPr>
        <w:t xml:space="preserve">Step 4: Further Escalation</w:t>
      </w:r>
    </w:p>
    <w:p>
      <w:pPr>
        <w:pStyle w:val="ListParagraph"/>
        <w:numPr>
          <w:ilvl w:val="0"/>
          <w:numId w:val="2"/>
        </w:numPr>
        <w:spacing w:after="40" w:before="40"/>
      </w:pPr>
      <w:r>
        <w:rPr>
          <w:rFonts w:ascii="Arial" w:cs="Arial" w:eastAsia="Arial" w:hAnsi="Arial"/>
          <w:sz w:val="22"/>
          <w:szCs w:val="22"/>
        </w:rPr>
        <w:t xml:space="preserve">Consumer Forum under Consumer Protection Act, 2019</w:t>
      </w:r>
    </w:p>
    <w:p>
      <w:pPr>
        <w:pStyle w:val="ListParagraph"/>
        <w:numPr>
          <w:ilvl w:val="0"/>
          <w:numId w:val="2"/>
        </w:numPr>
        <w:spacing w:after="40" w:before="40"/>
      </w:pPr>
      <w:r>
        <w:rPr>
          <w:rFonts w:ascii="Arial" w:cs="Arial" w:eastAsia="Arial" w:hAnsi="Arial"/>
          <w:sz w:val="22"/>
          <w:szCs w:val="22"/>
        </w:rPr>
        <w:t xml:space="preserve">Cyber Crime Portal: https://cybercrime.gov.in (for cyber fraud)</w:t>
      </w:r>
    </w:p>
    <w:p>
      <w:pPr>
        <w:pStyle w:val="ListParagraph"/>
        <w:numPr>
          <w:ilvl w:val="0"/>
          <w:numId w:val="2"/>
        </w:numPr>
        <w:spacing w:after="40" w:before="40"/>
      </w:pPr>
      <w:r>
        <w:rPr>
          <w:rFonts w:ascii="Arial" w:cs="Arial" w:eastAsia="Arial" w:hAnsi="Arial"/>
          <w:sz w:val="22"/>
          <w:szCs w:val="22"/>
        </w:rPr>
        <w:t xml:space="preserve">National Cyber Crime Helpline: 1930</w:t>
      </w:r>
    </w:p>
    <w:p>
      <w:pPr>
        <w:spacing w:after="80" w:before="80"/>
      </w:pPr>
      <w:r>
        <w:t xml:space="preserve"/>
      </w:r>
    </w:p>
    <w:p>
      <w:pPr>
        <w:pStyle w:val="Heading1"/>
        <w:spacing w:after="120" w:before="360"/>
      </w:pPr>
      <w:r>
        <w:rPr>
          <w:rFonts w:ascii="Arial" w:cs="Arial" w:eastAsia="Arial" w:hAnsi="Arial"/>
          <w:b/>
          <w:bCs/>
          <w:color w:val="1F4E79"/>
          <w:sz w:val="36"/>
          <w:szCs w:val="36"/>
        </w:rPr>
        <w:t xml:space="preserve">7. Special Provisions</w:t>
      </w:r>
    </w:p>
    <w:p>
      <w:pPr>
        <w:pStyle w:val="Heading2"/>
        <w:spacing w:after="100" w:before="280"/>
      </w:pPr>
      <w:r>
        <w:rPr>
          <w:rFonts w:ascii="Arial" w:cs="Arial" w:eastAsia="Arial" w:hAnsi="Arial"/>
          <w:b/>
          <w:bCs/>
          <w:color w:val="1F4E79"/>
          <w:sz w:val="28"/>
          <w:szCs w:val="28"/>
        </w:rPr>
        <w:t xml:space="preserve">7.1 For Senior Citizens and Differently Abled Persons</w:t>
      </w:r>
    </w:p>
    <w:p>
      <w:pPr>
        <w:spacing w:after="60" w:before="60"/>
      </w:pPr>
      <w:r>
        <w:rPr>
          <w:rFonts w:ascii="Arial" w:cs="Arial" w:eastAsia="Arial" w:hAnsi="Arial"/>
          <w:sz w:val="22"/>
          <w:szCs w:val="22"/>
        </w:rPr>
        <w:t xml:space="preserve">Banks must provide dedicated support and simpler reporting channels. Extra care must be taken in communication.</w:t>
      </w:r>
    </w:p>
    <w:p>
      <w:pPr>
        <w:spacing w:after="80" w:before="80"/>
      </w:pPr>
      <w:r>
        <w:t xml:space="preserve"/>
      </w:r>
    </w:p>
    <w:p>
      <w:pPr>
        <w:pStyle w:val="Heading2"/>
        <w:spacing w:after="100" w:before="280"/>
      </w:pPr>
      <w:r>
        <w:rPr>
          <w:rFonts w:ascii="Arial" w:cs="Arial" w:eastAsia="Arial" w:hAnsi="Arial"/>
          <w:b/>
          <w:bCs/>
          <w:color w:val="1F4E79"/>
          <w:sz w:val="28"/>
          <w:szCs w:val="28"/>
        </w:rPr>
        <w:t xml:space="preserve">7.2 For International Transactions</w:t>
      </w:r>
    </w:p>
    <w:p>
      <w:pPr>
        <w:spacing w:after="60" w:before="60"/>
      </w:pPr>
      <w:r>
        <w:rPr>
          <w:rFonts w:ascii="Arial" w:cs="Arial" w:eastAsia="Arial" w:hAnsi="Arial"/>
          <w:sz w:val="22"/>
          <w:szCs w:val="22"/>
        </w:rPr>
        <w:t xml:space="preserve">Same framework applies. If the customer has not enabled international transactions but a fraud occurs, it is treated as bank's negligence — zero liability for customer.</w:t>
      </w:r>
    </w:p>
    <w:p>
      <w:pPr>
        <w:spacing w:after="80" w:before="80"/>
      </w:pPr>
      <w:r>
        <w:t xml:space="preserve"/>
      </w:r>
    </w:p>
    <w:p>
      <w:pPr>
        <w:pStyle w:val="Heading2"/>
        <w:spacing w:after="100" w:before="280"/>
      </w:pPr>
      <w:r>
        <w:rPr>
          <w:rFonts w:ascii="Arial" w:cs="Arial" w:eastAsia="Arial" w:hAnsi="Arial"/>
          <w:b/>
          <w:bCs/>
          <w:color w:val="1F4E79"/>
          <w:sz w:val="28"/>
          <w:szCs w:val="28"/>
        </w:rPr>
        <w:t xml:space="preserve">7.3 Card Not Present (CNP) Transactions</w:t>
      </w:r>
    </w:p>
    <w:p>
      <w:pPr>
        <w:spacing w:after="60" w:before="60"/>
      </w:pPr>
      <w:r>
        <w:rPr>
          <w:rFonts w:ascii="Arial" w:cs="Arial" w:eastAsia="Arial" w:hAnsi="Arial"/>
          <w:sz w:val="22"/>
          <w:szCs w:val="22"/>
        </w:rPr>
        <w:t xml:space="preserve">Fraudulent e-commerce transactions where card details (number, CVV, expiry) were compromised without customer sharing them = third-party breach. Zero liability applies if reported on time.</w:t>
      </w:r>
    </w:p>
    <w:p>
      <w:pPr>
        <w:spacing w:after="80" w:before="80"/>
      </w:pPr>
      <w:r>
        <w:t xml:space="preserve"/>
      </w:r>
    </w:p>
    <w:p>
      <w:pPr>
        <w:pStyle w:val="Heading1"/>
        <w:spacing w:after="120" w:before="360"/>
      </w:pPr>
      <w:r>
        <w:rPr>
          <w:rFonts w:ascii="Arial" w:cs="Arial" w:eastAsia="Arial" w:hAnsi="Arial"/>
          <w:b/>
          <w:bCs/>
          <w:color w:val="1F4E79"/>
          <w:sz w:val="36"/>
          <w:szCs w:val="36"/>
        </w:rPr>
        <w:t xml:space="preserve">8. Key RBI Contact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RBI Helpline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14440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Banking Ombudsman Portal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https://cms.rbi.org.in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RBI Official Circular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https://rbi.org.in/Scripts/NotificationUser.aspx?Id=11040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Cyber Crime Helpline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1930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Cyber Crime Portal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https://cybercrime.gov.in</w:t>
            </w:r>
          </w:p>
        </w:tc>
      </w:tr>
    </w:tbl>
    <w:p>
      <w:pPr>
        <w:spacing w:after="80" w:before="80"/>
      </w:pPr>
      <w:r>
        <w:t xml:space="preserve"/>
      </w:r>
    </w:p>
    <w:p>
      <w:pPr>
        <w:pStyle w:val="Heading1"/>
        <w:spacing w:after="120" w:before="360"/>
      </w:pPr>
      <w:r>
        <w:rPr>
          <w:rFonts w:ascii="Arial" w:cs="Arial" w:eastAsia="Arial" w:hAnsi="Arial"/>
          <w:b/>
          <w:bCs/>
          <w:color w:val="1F4E79"/>
          <w:sz w:val="36"/>
          <w:szCs w:val="36"/>
        </w:rPr>
        <w:t xml:space="preserve">9. Summary — Quick Reference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20"/>
        <w:gridCol w:w="2220"/>
        <w:gridCol w:w="2220"/>
      </w:tblGrid>
      <w:tr>
        <w:tc>
          <w:tcPr>
            <w:tcW w:type="dxa" w:w="2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Fraud Type</w:t>
            </w:r>
          </w:p>
        </w:tc>
        <w:tc>
          <w:tcPr>
            <w:tcW w:type="dxa" w:w="22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Reported Within 3 Days</w:t>
            </w:r>
          </w:p>
        </w:tc>
        <w:tc>
          <w:tcPr>
            <w:tcW w:type="dxa" w:w="22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Reported 4-7 Days</w:t>
            </w:r>
          </w:p>
        </w:tc>
        <w:tc>
          <w:tcPr>
            <w:tcW w:type="dxa" w:w="22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Beyond 7 Days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Bank's Fault</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liability</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liability</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liability</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Third-Party Fault</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liability</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Capped (Rs. 5K-Rs. 25K)</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Bank's policy applies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Customer's Own Fault</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loss</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loss</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loss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DEC" w:val="clear"/>
            <w:tcMar>
              <w:top w:type="dxa" w:w="120"/>
              <w:left w:type="dxa" w:w="200"/>
              <w:bottom w:type="dxa" w:w="120"/>
              <w:right w:type="dxa" w:w="200"/>
            </w:tcMar>
          </w:tcPr>
          <w:p>
            <w:r>
              <w:rPr>
                <w:rFonts w:ascii="Arial" w:cs="Arial" w:eastAsia="Arial" w:hAnsi="Arial"/>
                <w:b/>
                <w:bCs/>
                <w:sz w:val="22"/>
                <w:szCs w:val="22"/>
              </w:rPr>
              <w:t xml:space="preserve">GOLDEN RULE: Report immediately. Every hour of delay can increase your liability or complicate recovery. Always get a written acknowledgment of your complaint.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1"/>
      </w:pBdr>
      <w:tabs>
        <w:tab w:val="right" w:pos="9360"/>
      </w:tabs>
    </w:pPr>
    <w:r>
      <w:rPr>
        <w:rFonts w:ascii="Arial" w:cs="Arial" w:eastAsia="Arial" w:hAnsi="Arial"/>
        <w:color w:val="888888"/>
        <w:sz w:val="16"/>
        <w:szCs w:val="16"/>
      </w:rPr>
      <w:t xml:space="preserve">Reference: RBI Circular DBR.No.Leg.BC.78/09.07.005/2017-18</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pPr>
    <w:r>
      <w:rPr>
        <w:rFonts w:ascii="Arial" w:cs="Arial" w:eastAsia="Arial" w:hAnsi="Arial"/>
        <w:color w:val="666666"/>
        <w:sz w:val="18"/>
        <w:szCs w:val="18"/>
      </w:rPr>
      <w:t xml:space="preserve">RBI Guidelines: Zero Liability of Customers | Unauthorized Electronic Banking Transactions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2026-04-17T07:28:59.780Z</dcterms:created>
  <dcterms:modified xsi:type="dcterms:W3CDTF">2026-04-17T07:28:59.781Z</dcterms:modified>
</cp:coreProperties>
</file>

<file path=docProps/custom.xml><?xml version="1.0" encoding="utf-8"?>
<Properties xmlns="http://schemas.openxmlformats.org/officeDocument/2006/custom-properties" xmlns:vt="http://schemas.openxmlformats.org/officeDocument/2006/docPropsVTypes"/>
</file>