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00"/>
              <w:bottom w:type="dxa" w:w="500"/>
              <w:right w:type="dxa" w:w="400"/>
            </w:tcMar>
          </w:tcPr>
          <w:p>
            <w:pPr>
              <w:spacing w:after="80" w:before="120"/>
              <w:jc w:val="center"/>
            </w:pPr>
            <w:r>
              <w:rPr>
                <w:rFonts w:ascii="Arial" w:cs="Arial" w:eastAsia="Arial" w:hAnsi="Arial"/>
                <w:b/>
                <w:bCs/>
                <w:color w:val="FFFFFF"/>
                <w:sz w:val="40"/>
                <w:szCs w:val="40"/>
              </w:rPr>
              <w:t xml:space="preserve">INSURANCE CLAIM FILING</w:t>
            </w:r>
          </w:p>
          <w:p>
            <w:pPr>
              <w:spacing w:after="200" w:before="80"/>
              <w:jc w:val="center"/>
            </w:pPr>
            <w:r>
              <w:rPr>
                <w:rFonts w:ascii="Arial" w:cs="Arial" w:eastAsia="Arial" w:hAnsi="Arial"/>
                <w:color w:val="BDD7EE"/>
                <w:sz w:val="28"/>
                <w:szCs w:val="28"/>
              </w:rPr>
              <w:t xml:space="preserve">COMPLETE CHECKLISTS &amp; DOCUMENTATION GUIDE</w:t>
            </w:r>
          </w:p>
          <w:p>
            <w:pPr>
              <w:spacing w:after="80" w:before="200"/>
              <w:jc w:val="center"/>
            </w:pPr>
            <w:r>
              <w:rPr>
                <w:rFonts w:ascii="Arial" w:cs="Arial" w:eastAsia="Arial" w:hAnsi="Arial"/>
                <w:i/>
                <w:iCs/>
                <w:color w:val="FFFFFF"/>
                <w:sz w:val="22"/>
                <w:szCs w:val="22"/>
              </w:rPr>
              <w:t xml:space="preserve">Health Insurance Claims  |  Motor Vehicle / Car Accident Claims</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B3A6B"/>
                <w:sz w:val="22"/>
                <w:szCs w:val="22"/>
              </w:rPr>
              <w:t xml:space="preserve">HEALTH CLAIMS</w:t>
            </w:r>
          </w:p>
          <w:p>
            <w:pPr>
              <w:spacing w:before="60"/>
              <w:jc w:val="center"/>
            </w:pPr>
            <w:r>
              <w:rPr>
                <w:rFonts w:ascii="Arial" w:cs="Arial" w:eastAsia="Arial" w:hAnsi="Arial"/>
                <w:color w:val="4A4A4A"/>
                <w:sz w:val="18"/>
                <w:szCs w:val="18"/>
              </w:rPr>
              <w:t xml:space="preserve">Hospitalization, Surgery, OPD, Maternity, Critical Illness</w:t>
            </w:r>
          </w:p>
        </w:tc>
        <w:tc>
          <w:tcPr>
            <w:tcW w:type="dxa" w:w="4680"/>
            <w:tcBorders>
              <w:top w:val="single" w:color="C9402A" w:sz="1"/>
              <w:left w:val="single" w:color="C9402A" w:sz="1"/>
              <w:bottom w:val="single" w:color="C9402A" w:sz="1"/>
              <w:right w:val="single" w:color="C9402A" w:sz="1"/>
            </w:tcBorders>
            <w:shd w:fill="FDECEA" w:val="clear"/>
            <w:tcMar>
              <w:top w:type="dxa" w:w="120"/>
              <w:left w:type="dxa" w:w="200"/>
              <w:bottom w:type="dxa" w:w="120"/>
              <w:right w:type="dxa" w:w="200"/>
            </w:tcMar>
          </w:tcPr>
          <w:p>
            <w:pPr>
              <w:jc w:val="center"/>
            </w:pPr>
            <w:r>
              <w:rPr>
                <w:rFonts w:ascii="Arial" w:cs="Arial" w:eastAsia="Arial" w:hAnsi="Arial"/>
                <w:b/>
                <w:bCs/>
                <w:color w:val="C9402A"/>
                <w:sz w:val="22"/>
                <w:szCs w:val="22"/>
              </w:rPr>
              <w:t xml:space="preserve">CAR ACCIDENT CLAIMS</w:t>
            </w:r>
          </w:p>
          <w:p>
            <w:pPr>
              <w:spacing w:before="60"/>
              <w:jc w:val="center"/>
            </w:pPr>
            <w:r>
              <w:rPr>
                <w:rFonts w:ascii="Arial" w:cs="Arial" w:eastAsia="Arial" w:hAnsi="Arial"/>
                <w:color w:val="4A4A4A"/>
                <w:sz w:val="18"/>
                <w:szCs w:val="18"/>
              </w:rPr>
              <w:t xml:space="preserve">Own Damage, Third Party, Total Loss, Theft</w:t>
            </w:r>
          </w:p>
        </w:tc>
      </w:tr>
    </w:tbl>
    <w:p>
      <w:pPr>
        <w:spacing w:after="60" w:before="120"/>
      </w:pPr>
      <w:r>
        <w:t xml:space="preserve"/>
      </w:r>
    </w:p>
    <w:p>
      <w:pPr>
        <w:jc w:val="center"/>
      </w:pPr>
      <w:r>
        <w:rPr>
          <w:rFonts w:ascii="Arial" w:cs="Arial" w:eastAsia="Arial" w:hAnsi="Arial"/>
          <w:i/>
          <w:iCs/>
          <w:color w:val="4A4A4A"/>
          <w:sz w:val="20"/>
          <w:szCs w:val="20"/>
        </w:rPr>
        <w:t xml:space="preserve">Comprehensive Documentation Requirements, Rules, Timelines &amp; Best Practices</w:t>
      </w:r>
    </w:p>
    <w:p>
      <w:pPr>
        <w:spacing w:after="60" w:before="80"/>
      </w:pPr>
      <w:r>
        <w:t xml:space="preserve"/>
      </w:r>
    </w:p>
    <w:p>
      <w:pPr>
        <w:jc w:val="center"/>
      </w:pPr>
      <w:r>
        <w:rPr>
          <w:rFonts w:ascii="Arial" w:cs="Arial" w:eastAsia="Arial" w:hAnsi="Arial"/>
          <w:color w:val="4A4A4A"/>
          <w:sz w:val="18"/>
          <w:szCs w:val="18"/>
        </w:rPr>
        <w:t xml:space="preserve">Version 2025  |  For Policyholders, HR Teams &amp; Claims Professionals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TABLE OF CONTENTS</w:t>
            </w:r>
          </w:p>
        </w:tc>
      </w:tr>
    </w:tbl>
    <w:p>
      <w:pPr>
        <w:spacing w:after="60" w:before="100"/>
      </w:pPr>
      <w:r>
        <w:t xml:space="preserve"/>
      </w:r>
    </w:p>
    <w:p>
      <w:pPr>
        <w:tabs>
          <w:tab w:val="right" w:pos="9000"/>
        </w:tabs>
        <w:spacing w:after="60" w:before="60"/>
      </w:pPr>
      <w:r>
        <w:rPr>
          <w:rFonts w:ascii="Arial" w:cs="Arial" w:eastAsia="Arial" w:hAnsi="Arial"/>
          <w:b/>
          <w:bCs/>
          <w:color w:val="1B3A6B"/>
          <w:sz w:val="21"/>
          <w:szCs w:val="21"/>
        </w:rPr>
        <w:t xml:space="preserve">1.  </w:t>
      </w:r>
      <w:r>
        <w:rPr>
          <w:rFonts w:ascii="Arial" w:cs="Arial" w:eastAsia="Arial" w:hAnsi="Arial"/>
          <w:b/>
          <w:bCs/>
          <w:color w:val="1B3A6B"/>
          <w:sz w:val="21"/>
          <w:szCs w:val="21"/>
        </w:rPr>
        <w:t xml:space="preserve">Introduction &amp; Purpose of This Guide</w:t>
      </w:r>
      <w:r>
        <w:rPr>
          <w:rFonts w:ascii="Arial" w:cs="Arial" w:eastAsia="Arial" w:hAnsi="Arial"/>
          <w:color w:val="4A4A4A"/>
          <w:sz w:val="21"/>
          <w:szCs w:val="21"/>
        </w:rPr>
        <w:t xml:space="preserve">	3</w:t>
      </w:r>
    </w:p>
    <w:p>
      <w:pPr>
        <w:tabs>
          <w:tab w:val="right" w:pos="9000"/>
        </w:tabs>
        <w:spacing w:after="60" w:before="60"/>
      </w:pPr>
      <w:r>
        <w:rPr>
          <w:rFonts w:ascii="Arial" w:cs="Arial" w:eastAsia="Arial" w:hAnsi="Arial"/>
          <w:b/>
          <w:bCs/>
          <w:color w:val="1B3A6B"/>
          <w:sz w:val="21"/>
          <w:szCs w:val="21"/>
        </w:rPr>
        <w:t xml:space="preserve">2.  </w:t>
      </w:r>
      <w:r>
        <w:rPr>
          <w:rFonts w:ascii="Arial" w:cs="Arial" w:eastAsia="Arial" w:hAnsi="Arial"/>
          <w:b/>
          <w:bCs/>
          <w:color w:val="1B3A6B"/>
          <w:sz w:val="21"/>
          <w:szCs w:val="21"/>
        </w:rPr>
        <w:t xml:space="preserve">General Rules Applicable to All Claims</w:t>
      </w:r>
      <w:r>
        <w:rPr>
          <w:rFonts w:ascii="Arial" w:cs="Arial" w:eastAsia="Arial" w:hAnsi="Arial"/>
          <w:color w:val="4A4A4A"/>
          <w:sz w:val="21"/>
          <w:szCs w:val="21"/>
        </w:rPr>
        <w:t xml:space="preserve">	3</w:t>
      </w:r>
    </w:p>
    <w:p>
      <w:pPr>
        <w:tabs>
          <w:tab w:val="right" w:pos="9000"/>
        </w:tabs>
        <w:spacing w:after="60" w:before="60"/>
      </w:pPr>
      <w:r>
        <w:rPr>
          <w:rFonts w:ascii="Arial" w:cs="Arial" w:eastAsia="Arial" w:hAnsi="Arial"/>
          <w:b/>
          <w:bCs/>
          <w:color w:val="1B3A6B"/>
          <w:sz w:val="21"/>
          <w:szCs w:val="21"/>
        </w:rPr>
        <w:t xml:space="preserve">3.  </w:t>
      </w:r>
      <w:r>
        <w:rPr>
          <w:rFonts w:ascii="Arial" w:cs="Arial" w:eastAsia="Arial" w:hAnsi="Arial"/>
          <w:b/>
          <w:bCs/>
          <w:color w:val="1B3A6B"/>
          <w:sz w:val="21"/>
          <w:szCs w:val="21"/>
        </w:rPr>
        <w:t xml:space="preserve">Understanding Claim Types</w:t>
      </w:r>
      <w:r>
        <w:rPr>
          <w:rFonts w:ascii="Arial" w:cs="Arial" w:eastAsia="Arial" w:hAnsi="Arial"/>
          <w:color w:val="4A4A4A"/>
          <w:sz w:val="21"/>
          <w:szCs w:val="21"/>
        </w:rPr>
        <w:t xml:space="preserve">	4</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3.1  Health Insurance Claim Types</w:t>
      </w:r>
      <w:r>
        <w:rPr>
          <w:rFonts w:ascii="Arial" w:cs="Arial" w:eastAsia="Arial" w:hAnsi="Arial"/>
          <w:color w:val="4A4A4A"/>
          <w:sz w:val="21"/>
          <w:szCs w:val="21"/>
        </w:rPr>
        <w:t xml:space="preserve">	4</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3.2  Car Accident Claim Types</w:t>
      </w:r>
      <w:r>
        <w:rPr>
          <w:rFonts w:ascii="Arial" w:cs="Arial" w:eastAsia="Arial" w:hAnsi="Arial"/>
          <w:color w:val="4A4A4A"/>
          <w:sz w:val="21"/>
          <w:szCs w:val="21"/>
        </w:rPr>
        <w:t xml:space="preserve">	5</w:t>
      </w:r>
    </w:p>
    <w:p>
      <w:pPr>
        <w:tabs>
          <w:tab w:val="right" w:pos="9000"/>
        </w:tabs>
        <w:spacing w:after="60" w:before="60"/>
      </w:pPr>
      <w:r>
        <w:rPr>
          <w:rFonts w:ascii="Arial" w:cs="Arial" w:eastAsia="Arial" w:hAnsi="Arial"/>
          <w:b/>
          <w:bCs/>
          <w:color w:val="1B3A6B"/>
          <w:sz w:val="21"/>
          <w:szCs w:val="21"/>
        </w:rPr>
        <w:t xml:space="preserve">4.  </w:t>
      </w:r>
      <w:r>
        <w:rPr>
          <w:rFonts w:ascii="Arial" w:cs="Arial" w:eastAsia="Arial" w:hAnsi="Arial"/>
          <w:b/>
          <w:bCs/>
          <w:color w:val="1B3A6B"/>
          <w:sz w:val="21"/>
          <w:szCs w:val="21"/>
        </w:rPr>
        <w:t xml:space="preserve">HEALTH INSURANCE CLAIMS — Master Checklist</w:t>
      </w:r>
      <w:r>
        <w:rPr>
          <w:rFonts w:ascii="Arial" w:cs="Arial" w:eastAsia="Arial" w:hAnsi="Arial"/>
          <w:color w:val="4A4A4A"/>
          <w:sz w:val="21"/>
          <w:szCs w:val="21"/>
        </w:rPr>
        <w:t xml:space="preserve">	5</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4.1  Universal Health Claim Documents</w:t>
      </w:r>
      <w:r>
        <w:rPr>
          <w:rFonts w:ascii="Arial" w:cs="Arial" w:eastAsia="Arial" w:hAnsi="Arial"/>
          <w:color w:val="4A4A4A"/>
          <w:sz w:val="21"/>
          <w:szCs w:val="21"/>
        </w:rPr>
        <w:t xml:space="preserve">	5</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4.2  Cashless Hospitalization Claims</w:t>
      </w:r>
      <w:r>
        <w:rPr>
          <w:rFonts w:ascii="Arial" w:cs="Arial" w:eastAsia="Arial" w:hAnsi="Arial"/>
          <w:color w:val="4A4A4A"/>
          <w:sz w:val="21"/>
          <w:szCs w:val="21"/>
        </w:rPr>
        <w:t xml:space="preserve">	6</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4.3  Reimbursement Claims</w:t>
      </w:r>
      <w:r>
        <w:rPr>
          <w:rFonts w:ascii="Arial" w:cs="Arial" w:eastAsia="Arial" w:hAnsi="Arial"/>
          <w:color w:val="4A4A4A"/>
          <w:sz w:val="21"/>
          <w:szCs w:val="21"/>
        </w:rPr>
        <w:t xml:space="preserve">	6</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4.4  Day Care Procedure Claims</w:t>
      </w:r>
      <w:r>
        <w:rPr>
          <w:rFonts w:ascii="Arial" w:cs="Arial" w:eastAsia="Arial" w:hAnsi="Arial"/>
          <w:color w:val="4A4A4A"/>
          <w:sz w:val="21"/>
          <w:szCs w:val="21"/>
        </w:rPr>
        <w:t xml:space="preserve">	7</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4.5  Maternity &amp; Newborn Claims</w:t>
      </w:r>
      <w:r>
        <w:rPr>
          <w:rFonts w:ascii="Arial" w:cs="Arial" w:eastAsia="Arial" w:hAnsi="Arial"/>
          <w:color w:val="4A4A4A"/>
          <w:sz w:val="21"/>
          <w:szCs w:val="21"/>
        </w:rPr>
        <w:t xml:space="preserve">	7</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4.6  Critical Illness Claims</w:t>
      </w:r>
      <w:r>
        <w:rPr>
          <w:rFonts w:ascii="Arial" w:cs="Arial" w:eastAsia="Arial" w:hAnsi="Arial"/>
          <w:color w:val="4A4A4A"/>
          <w:sz w:val="21"/>
          <w:szCs w:val="21"/>
        </w:rPr>
        <w:t xml:space="preserve">	8</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4.7  Outpatient (OPD) Claims</w:t>
      </w:r>
      <w:r>
        <w:rPr>
          <w:rFonts w:ascii="Arial" w:cs="Arial" w:eastAsia="Arial" w:hAnsi="Arial"/>
          <w:color w:val="4A4A4A"/>
          <w:sz w:val="21"/>
          <w:szCs w:val="21"/>
        </w:rPr>
        <w:t xml:space="preserve">	8</w:t>
      </w:r>
    </w:p>
    <w:p>
      <w:pPr>
        <w:tabs>
          <w:tab w:val="right" w:pos="9000"/>
        </w:tabs>
        <w:spacing w:after="60" w:before="60"/>
      </w:pPr>
      <w:r>
        <w:rPr>
          <w:rFonts w:ascii="Arial" w:cs="Arial" w:eastAsia="Arial" w:hAnsi="Arial"/>
          <w:b/>
          <w:bCs/>
          <w:color w:val="1B3A6B"/>
          <w:sz w:val="21"/>
          <w:szCs w:val="21"/>
        </w:rPr>
        <w:t xml:space="preserve">5.  </w:t>
      </w:r>
      <w:r>
        <w:rPr>
          <w:rFonts w:ascii="Arial" w:cs="Arial" w:eastAsia="Arial" w:hAnsi="Arial"/>
          <w:b/>
          <w:bCs/>
          <w:color w:val="1B3A6B"/>
          <w:sz w:val="21"/>
          <w:szCs w:val="21"/>
        </w:rPr>
        <w:t xml:space="preserve">CAR ACCIDENT CLAIMS — Master Checklist</w:t>
      </w:r>
      <w:r>
        <w:rPr>
          <w:rFonts w:ascii="Arial" w:cs="Arial" w:eastAsia="Arial" w:hAnsi="Arial"/>
          <w:color w:val="4A4A4A"/>
          <w:sz w:val="21"/>
          <w:szCs w:val="21"/>
        </w:rPr>
        <w:t xml:space="preserve">	9</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5.1  Universal Motor Claim Documents</w:t>
      </w:r>
      <w:r>
        <w:rPr>
          <w:rFonts w:ascii="Arial" w:cs="Arial" w:eastAsia="Arial" w:hAnsi="Arial"/>
          <w:color w:val="4A4A4A"/>
          <w:sz w:val="21"/>
          <w:szCs w:val="21"/>
        </w:rPr>
        <w:t xml:space="preserve">	9</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5.2  Own Damage (OD) Claims</w:t>
      </w:r>
      <w:r>
        <w:rPr>
          <w:rFonts w:ascii="Arial" w:cs="Arial" w:eastAsia="Arial" w:hAnsi="Arial"/>
          <w:color w:val="4A4A4A"/>
          <w:sz w:val="21"/>
          <w:szCs w:val="21"/>
        </w:rPr>
        <w:t xml:space="preserve">	10</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5.3  Third Party Liability (TPL) Claims</w:t>
      </w:r>
      <w:r>
        <w:rPr>
          <w:rFonts w:ascii="Arial" w:cs="Arial" w:eastAsia="Arial" w:hAnsi="Arial"/>
          <w:color w:val="4A4A4A"/>
          <w:sz w:val="21"/>
          <w:szCs w:val="21"/>
        </w:rPr>
        <w:t xml:space="preserve">	10</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5.4  Total Loss Claims</w:t>
      </w:r>
      <w:r>
        <w:rPr>
          <w:rFonts w:ascii="Arial" w:cs="Arial" w:eastAsia="Arial" w:hAnsi="Arial"/>
          <w:color w:val="4A4A4A"/>
          <w:sz w:val="21"/>
          <w:szCs w:val="21"/>
        </w:rPr>
        <w:t xml:space="preserve">	11</w:t>
      </w:r>
    </w:p>
    <w:p>
      <w:pPr>
        <w:tabs>
          <w:tab w:val="right" w:pos="9000"/>
        </w:tabs>
        <w:spacing w:after="60" w:before="60"/>
      </w:pPr>
      <w:r>
        <w:rPr>
          <w:rFonts w:ascii="Arial" w:cs="Arial" w:eastAsia="Arial" w:hAnsi="Arial"/>
          <w:b w:val="false"/>
          <w:bCs w:val="false"/>
          <w:color w:val="1A1A1A"/>
          <w:sz w:val="21"/>
          <w:szCs w:val="21"/>
        </w:rPr>
        <w:t xml:space="preserve">    </w:t>
      </w:r>
      <w:r>
        <w:rPr>
          <w:rFonts w:ascii="Arial" w:cs="Arial" w:eastAsia="Arial" w:hAnsi="Arial"/>
          <w:b w:val="false"/>
          <w:bCs w:val="false"/>
          <w:color w:val="1A1A1A"/>
          <w:sz w:val="21"/>
          <w:szCs w:val="21"/>
        </w:rPr>
        <w:t xml:space="preserve">  5.5  Theft Claims</w:t>
      </w:r>
      <w:r>
        <w:rPr>
          <w:rFonts w:ascii="Arial" w:cs="Arial" w:eastAsia="Arial" w:hAnsi="Arial"/>
          <w:color w:val="4A4A4A"/>
          <w:sz w:val="21"/>
          <w:szCs w:val="21"/>
        </w:rPr>
        <w:t xml:space="preserve">	11</w:t>
      </w:r>
    </w:p>
    <w:p>
      <w:pPr>
        <w:tabs>
          <w:tab w:val="right" w:pos="9000"/>
        </w:tabs>
        <w:spacing w:after="60" w:before="60"/>
      </w:pPr>
      <w:r>
        <w:rPr>
          <w:rFonts w:ascii="Arial" w:cs="Arial" w:eastAsia="Arial" w:hAnsi="Arial"/>
          <w:b/>
          <w:bCs/>
          <w:color w:val="1B3A6B"/>
          <w:sz w:val="21"/>
          <w:szCs w:val="21"/>
        </w:rPr>
        <w:t xml:space="preserve">6.  </w:t>
      </w:r>
      <w:r>
        <w:rPr>
          <w:rFonts w:ascii="Arial" w:cs="Arial" w:eastAsia="Arial" w:hAnsi="Arial"/>
          <w:b/>
          <w:bCs/>
          <w:color w:val="1B3A6B"/>
          <w:sz w:val="21"/>
          <w:szCs w:val="21"/>
        </w:rPr>
        <w:t xml:space="preserve">Timelines &amp; Deadlines — Critical Rules</w:t>
      </w:r>
      <w:r>
        <w:rPr>
          <w:rFonts w:ascii="Arial" w:cs="Arial" w:eastAsia="Arial" w:hAnsi="Arial"/>
          <w:color w:val="4A4A4A"/>
          <w:sz w:val="21"/>
          <w:szCs w:val="21"/>
        </w:rPr>
        <w:t xml:space="preserve">	12</w:t>
      </w:r>
    </w:p>
    <w:p>
      <w:pPr>
        <w:tabs>
          <w:tab w:val="right" w:pos="9000"/>
        </w:tabs>
        <w:spacing w:after="60" w:before="60"/>
      </w:pPr>
      <w:r>
        <w:rPr>
          <w:rFonts w:ascii="Arial" w:cs="Arial" w:eastAsia="Arial" w:hAnsi="Arial"/>
          <w:b/>
          <w:bCs/>
          <w:color w:val="1B3A6B"/>
          <w:sz w:val="21"/>
          <w:szCs w:val="21"/>
        </w:rPr>
        <w:t xml:space="preserve">7.  </w:t>
      </w:r>
      <w:r>
        <w:rPr>
          <w:rFonts w:ascii="Arial" w:cs="Arial" w:eastAsia="Arial" w:hAnsi="Arial"/>
          <w:b/>
          <w:bCs/>
          <w:color w:val="1B3A6B"/>
          <w:sz w:val="21"/>
          <w:szCs w:val="21"/>
        </w:rPr>
        <w:t xml:space="preserve">Document Authentication &amp; Submission Rules</w:t>
      </w:r>
      <w:r>
        <w:rPr>
          <w:rFonts w:ascii="Arial" w:cs="Arial" w:eastAsia="Arial" w:hAnsi="Arial"/>
          <w:color w:val="4A4A4A"/>
          <w:sz w:val="21"/>
          <w:szCs w:val="21"/>
        </w:rPr>
        <w:t xml:space="preserve">	13</w:t>
      </w:r>
    </w:p>
    <w:p>
      <w:pPr>
        <w:tabs>
          <w:tab w:val="right" w:pos="9000"/>
        </w:tabs>
        <w:spacing w:after="60" w:before="60"/>
      </w:pPr>
      <w:r>
        <w:rPr>
          <w:rFonts w:ascii="Arial" w:cs="Arial" w:eastAsia="Arial" w:hAnsi="Arial"/>
          <w:b/>
          <w:bCs/>
          <w:color w:val="1B3A6B"/>
          <w:sz w:val="21"/>
          <w:szCs w:val="21"/>
        </w:rPr>
        <w:t xml:space="preserve">8.  </w:t>
      </w:r>
      <w:r>
        <w:rPr>
          <w:rFonts w:ascii="Arial" w:cs="Arial" w:eastAsia="Arial" w:hAnsi="Arial"/>
          <w:b/>
          <w:bCs/>
          <w:color w:val="1B3A6B"/>
          <w:sz w:val="21"/>
          <w:szCs w:val="21"/>
        </w:rPr>
        <w:t xml:space="preserve">Common Rejection Reasons &amp; How to Avoid Them</w:t>
      </w:r>
      <w:r>
        <w:rPr>
          <w:rFonts w:ascii="Arial" w:cs="Arial" w:eastAsia="Arial" w:hAnsi="Arial"/>
          <w:color w:val="4A4A4A"/>
          <w:sz w:val="21"/>
          <w:szCs w:val="21"/>
        </w:rPr>
        <w:t xml:space="preserve">	14</w:t>
      </w:r>
    </w:p>
    <w:p>
      <w:pPr>
        <w:tabs>
          <w:tab w:val="right" w:pos="9000"/>
        </w:tabs>
        <w:spacing w:after="60" w:before="60"/>
      </w:pPr>
      <w:r>
        <w:rPr>
          <w:rFonts w:ascii="Arial" w:cs="Arial" w:eastAsia="Arial" w:hAnsi="Arial"/>
          <w:b/>
          <w:bCs/>
          <w:color w:val="1B3A6B"/>
          <w:sz w:val="21"/>
          <w:szCs w:val="21"/>
        </w:rPr>
        <w:t xml:space="preserve">9.  </w:t>
      </w:r>
      <w:r>
        <w:rPr>
          <w:rFonts w:ascii="Arial" w:cs="Arial" w:eastAsia="Arial" w:hAnsi="Arial"/>
          <w:b/>
          <w:bCs/>
          <w:color w:val="1B3A6B"/>
          <w:sz w:val="21"/>
          <w:szCs w:val="21"/>
        </w:rPr>
        <w:t xml:space="preserve">Special Circumstances &amp; Exceptions</w:t>
      </w:r>
      <w:r>
        <w:rPr>
          <w:rFonts w:ascii="Arial" w:cs="Arial" w:eastAsia="Arial" w:hAnsi="Arial"/>
          <w:color w:val="4A4A4A"/>
          <w:sz w:val="21"/>
          <w:szCs w:val="21"/>
        </w:rPr>
        <w:t xml:space="preserve">	15</w:t>
      </w:r>
    </w:p>
    <w:p>
      <w:pPr>
        <w:tabs>
          <w:tab w:val="right" w:pos="9000"/>
        </w:tabs>
        <w:spacing w:after="60" w:before="60"/>
      </w:pPr>
      <w:r>
        <w:rPr>
          <w:rFonts w:ascii="Arial" w:cs="Arial" w:eastAsia="Arial" w:hAnsi="Arial"/>
          <w:b/>
          <w:bCs/>
          <w:color w:val="1B3A6B"/>
          <w:sz w:val="21"/>
          <w:szCs w:val="21"/>
        </w:rPr>
        <w:t xml:space="preserve">10.  </w:t>
      </w:r>
      <w:r>
        <w:rPr>
          <w:rFonts w:ascii="Arial" w:cs="Arial" w:eastAsia="Arial" w:hAnsi="Arial"/>
          <w:b/>
          <w:bCs/>
          <w:color w:val="1B3A6B"/>
          <w:sz w:val="21"/>
          <w:szCs w:val="21"/>
        </w:rPr>
        <w:t xml:space="preserve">Final Submission Checklist &amp; Sign-Off</w:t>
      </w:r>
      <w:r>
        <w:rPr>
          <w:rFonts w:ascii="Arial" w:cs="Arial" w:eastAsia="Arial" w:hAnsi="Arial"/>
          <w:color w:val="4A4A4A"/>
          <w:sz w:val="21"/>
          <w:szCs w:val="21"/>
        </w:rPr>
        <w:t xml:space="preserve">	16</w:t>
      </w:r>
    </w:p>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1.  Introduction &amp; Purpose of This Guide</w:t>
      </w:r>
    </w:p>
    <w:p>
      <w:pPr>
        <w:spacing w:after="80" w:before="60"/>
        <w:jc w:val="both"/>
      </w:pPr>
      <w:r>
        <w:rPr>
          <w:rFonts w:ascii="Arial" w:cs="Arial" w:eastAsia="Arial" w:hAnsi="Arial"/>
          <w:color w:val="1A1A1A"/>
          <w:sz w:val="22"/>
          <w:szCs w:val="22"/>
        </w:rPr>
        <w:t xml:space="preserve">Insurance claims are formal requests submitted by policyholders to their insurance companies seeking compensation or coverage for a covered loss, medical expense, or accident. The success of any claim largely depends on the accuracy, completeness, and timeliness of the documentation submitted. A missing document, an expired form, or an illegible copy can result in delays, partial payments, or outright rejection of an otherwise valid claim.</w:t>
      </w:r>
    </w:p>
    <w:p>
      <w:pPr>
        <w:spacing w:after="60" w:before="60"/>
      </w:pPr>
      <w:r>
        <w:t xml:space="preserve"/>
      </w:r>
    </w:p>
    <w:p>
      <w:pPr>
        <w:spacing w:after="80" w:before="60"/>
        <w:jc w:val="both"/>
      </w:pPr>
      <w:r>
        <w:rPr>
          <w:rFonts w:ascii="Arial" w:cs="Arial" w:eastAsia="Arial" w:hAnsi="Arial"/>
          <w:color w:val="1A1A1A"/>
          <w:sz w:val="22"/>
          <w:szCs w:val="22"/>
        </w:rPr>
        <w:t xml:space="preserve">This guide has been prepared as a comprehensive, authoritative reference covering two of the most commonly filed insurance claims — Health Insurance Claims and Car Accident (Motor) Claims. It covers every category of supporting document required, explains why each document is needed, outlines the rules and regulations that govern the filing process, and highlights the most frequent errors that lead to claim denials.</w:t>
      </w:r>
    </w:p>
    <w:p>
      <w:pPr>
        <w:spacing w:after="60" w:before="60"/>
      </w:pPr>
      <w:r>
        <w:t xml:space="preserve"/>
      </w:r>
    </w:p>
    <w:p>
      <w:pPr>
        <w:spacing w:after="80" w:before="60"/>
        <w:jc w:val="both"/>
      </w:pPr>
      <w:r>
        <w:rPr>
          <w:rFonts w:ascii="Arial" w:cs="Arial" w:eastAsia="Arial" w:hAnsi="Arial"/>
          <w:color w:val="1A1A1A"/>
          <w:sz w:val="22"/>
          <w:szCs w:val="22"/>
        </w:rPr>
        <w:t xml:space="preserve">Whether you are a first-time claimant, a corporate HR professional managing employee mediclaim benefits, or a motor insurance policyholder, this document provides the complete checklist and procedural guidance you need to file a successful claim on the first submission.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2"/>
              <w:bottom w:val="single" w:color="C8922A" w:sz="1"/>
              <w:right w:val="single" w:color="C8922A" w:sz="1"/>
            </w:tcBorders>
            <w:shd w:fill="FFF8E1" w:val="clear"/>
            <w:tcMar>
              <w:top w:type="dxa" w:w="100"/>
              <w:left w:type="dxa" w:w="200"/>
              <w:bottom w:type="dxa" w:w="100"/>
              <w:right w:type="dxa" w:w="160"/>
            </w:tcMar>
          </w:tcPr>
          <w:p>
            <w:r>
              <w:rPr>
                <w:rFonts w:ascii="Arial" w:cs="Arial" w:eastAsia="Arial" w:hAnsi="Arial"/>
                <w:color w:val="1A1A1A"/>
                <w:sz w:val="21"/>
                <w:szCs w:val="21"/>
              </w:rPr>
              <w:t xml:space="preserve">IMPORTANT DISCLAIMER: Document requirements may vary slightly between insurance providers, policy types, and regional regulations. Always confirm the specific checklist with your insurer or Third Party Administrator (TPA) before submitting. This guide reflects standard industry requirements as per IRDAI (Insurance Regulatory and Development Authority of India) guidelines and general insurance best practices.</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2.  General Rules Applicable to All Claims</w:t>
      </w:r>
    </w:p>
    <w:p>
      <w:pPr>
        <w:spacing w:after="80" w:before="60"/>
        <w:jc w:val="both"/>
      </w:pPr>
      <w:r>
        <w:rPr>
          <w:rFonts w:ascii="Arial" w:cs="Arial" w:eastAsia="Arial" w:hAnsi="Arial"/>
          <w:color w:val="1A1A1A"/>
          <w:sz w:val="22"/>
          <w:szCs w:val="22"/>
        </w:rPr>
        <w:t xml:space="preserve">Before delving into specific claim categories, the following universal rules apply to every insurance claim, regardless of type. Failure to follow these rules is one of the leading causes of claim rejection.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2.1  The Golden Rules of Claim Filing</w:t>
      </w:r>
    </w:p>
    <w:p>
      <w:pPr>
        <w:pStyle w:val="ListParagraph"/>
        <w:numPr>
          <w:ilvl w:val="0"/>
          <w:numId w:val="2"/>
        </w:numPr>
        <w:spacing w:after="40" w:before="40"/>
      </w:pPr>
      <w:r>
        <w:rPr>
          <w:rFonts w:ascii="Arial" w:cs="Arial" w:eastAsia="Arial" w:hAnsi="Arial"/>
          <w:b w:val="false"/>
          <w:bCs w:val="false"/>
          <w:color w:val="1A1A1A"/>
          <w:sz w:val="21"/>
          <w:szCs w:val="21"/>
        </w:rPr>
        <w:t xml:space="preserve">Intimation Rule: Notify your insurer or TPA within 24 to 48 hours of any accident, hospitalization, or loss event. For planned procedures, intimation must be given at least 48 to 72 hours in advance. Delayed intimation is a ground for claim rejection.</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Documents: Insurance companies require original bills, discharge summaries, and medical reports. Photocopies are accepted only when originals are submitted simultaneously or where originals are retained by the hospital (in which case attested copies must be provided).</w:t>
      </w:r>
    </w:p>
    <w:p>
      <w:pPr>
        <w:pStyle w:val="ListParagraph"/>
        <w:numPr>
          <w:ilvl w:val="0"/>
          <w:numId w:val="2"/>
        </w:numPr>
        <w:spacing w:after="40" w:before="40"/>
      </w:pPr>
      <w:r>
        <w:rPr>
          <w:rFonts w:ascii="Arial" w:cs="Arial" w:eastAsia="Arial" w:hAnsi="Arial"/>
          <w:b w:val="false"/>
          <w:bCs w:val="false"/>
          <w:color w:val="1A1A1A"/>
          <w:sz w:val="21"/>
          <w:szCs w:val="21"/>
        </w:rPr>
        <w:t xml:space="preserve">Self-Attestation: All photocopies must be self-attested (signed by the claimant with the words 'True Copy' and the date) unless the insurer specifies notarization.</w:t>
      </w:r>
    </w:p>
    <w:p>
      <w:pPr>
        <w:pStyle w:val="ListParagraph"/>
        <w:numPr>
          <w:ilvl w:val="0"/>
          <w:numId w:val="2"/>
        </w:numPr>
        <w:spacing w:after="40" w:before="40"/>
      </w:pPr>
      <w:r>
        <w:rPr>
          <w:rFonts w:ascii="Arial" w:cs="Arial" w:eastAsia="Arial" w:hAnsi="Arial"/>
          <w:b w:val="false"/>
          <w:bCs w:val="false"/>
          <w:color w:val="1A1A1A"/>
          <w:sz w:val="21"/>
          <w:szCs w:val="21"/>
        </w:rPr>
        <w:t xml:space="preserve">Complete Forms: Claim forms must be filled in all sections. Even blank fields marked N/A must be explicitly marked. Incomplete forms are returned without processing.</w:t>
      </w:r>
    </w:p>
    <w:p>
      <w:pPr>
        <w:pStyle w:val="ListParagraph"/>
        <w:numPr>
          <w:ilvl w:val="0"/>
          <w:numId w:val="2"/>
        </w:numPr>
        <w:spacing w:after="40" w:before="40"/>
      </w:pPr>
      <w:r>
        <w:rPr>
          <w:rFonts w:ascii="Arial" w:cs="Arial" w:eastAsia="Arial" w:hAnsi="Arial"/>
          <w:b w:val="false"/>
          <w:bCs w:val="false"/>
          <w:color w:val="1A1A1A"/>
          <w:sz w:val="21"/>
          <w:szCs w:val="21"/>
        </w:rPr>
        <w:t xml:space="preserve">Signatures: All claim forms and declarations must be signed by the insured person. In case of a minor or incapacitated person, the legal guardian or nominee may sign.</w:t>
      </w:r>
    </w:p>
    <w:p>
      <w:pPr>
        <w:pStyle w:val="ListParagraph"/>
        <w:numPr>
          <w:ilvl w:val="0"/>
          <w:numId w:val="2"/>
        </w:numPr>
        <w:spacing w:after="40" w:before="40"/>
      </w:pPr>
      <w:r>
        <w:rPr>
          <w:rFonts w:ascii="Arial" w:cs="Arial" w:eastAsia="Arial" w:hAnsi="Arial"/>
          <w:b w:val="false"/>
          <w:bCs w:val="false"/>
          <w:color w:val="1A1A1A"/>
          <w:sz w:val="21"/>
          <w:szCs w:val="21"/>
        </w:rPr>
        <w:t xml:space="preserve">Legibility: All handwritten forms must be written in block letters in black or blue ink. Photocopied documents must be clearly legible.</w:t>
      </w:r>
    </w:p>
    <w:p>
      <w:pPr>
        <w:pStyle w:val="ListParagraph"/>
        <w:numPr>
          <w:ilvl w:val="0"/>
          <w:numId w:val="2"/>
        </w:numPr>
        <w:spacing w:after="40" w:before="40"/>
      </w:pPr>
      <w:r>
        <w:rPr>
          <w:rFonts w:ascii="Arial" w:cs="Arial" w:eastAsia="Arial" w:hAnsi="Arial"/>
          <w:b w:val="false"/>
          <w:bCs w:val="false"/>
          <w:color w:val="1A1A1A"/>
          <w:sz w:val="21"/>
          <w:szCs w:val="21"/>
        </w:rPr>
        <w:t xml:space="preserve">Currency: All documents must be current and valid as of the date of the event. Expired ID proofs, outdated prescriptions, or out-of-date policy documents are not acceptable.</w:t>
      </w:r>
    </w:p>
    <w:p>
      <w:pPr>
        <w:pStyle w:val="ListParagraph"/>
        <w:numPr>
          <w:ilvl w:val="0"/>
          <w:numId w:val="2"/>
        </w:numPr>
        <w:spacing w:after="40" w:before="40"/>
      </w:pPr>
      <w:r>
        <w:rPr>
          <w:rFonts w:ascii="Arial" w:cs="Arial" w:eastAsia="Arial" w:hAnsi="Arial"/>
          <w:b w:val="false"/>
          <w:bCs w:val="false"/>
          <w:color w:val="1A1A1A"/>
          <w:sz w:val="21"/>
          <w:szCs w:val="21"/>
        </w:rPr>
        <w:t xml:space="preserve">Submission Timeline: Claims must be filed within the time limits specified in the policy. Typically, reimbursement claims must be filed within 30 days of discharge or event completion.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Document Organization &amp; Submission Format</w:t>
      </w:r>
    </w:p>
    <w:p>
      <w:pPr>
        <w:spacing w:after="80" w:before="60"/>
        <w:jc w:val="both"/>
      </w:pPr>
      <w:r>
        <w:rPr>
          <w:rFonts w:ascii="Arial" w:cs="Arial" w:eastAsia="Arial" w:hAnsi="Arial"/>
          <w:color w:val="1A1A1A"/>
          <w:sz w:val="22"/>
          <w:szCs w:val="22"/>
        </w:rPr>
        <w:t xml:space="preserve">Insurance companies require documents to be submitted in a specific order. Organize your submission as follows:</w:t>
      </w:r>
    </w:p>
    <w:p>
      <w:pPr>
        <w:pStyle w:val="ListParagraph"/>
        <w:numPr>
          <w:ilvl w:val="0"/>
          <w:numId w:val="3"/>
        </w:numPr>
        <w:spacing w:after="40" w:before="40"/>
      </w:pPr>
      <w:r>
        <w:rPr>
          <w:rFonts w:ascii="Arial" w:cs="Arial" w:eastAsia="Arial" w:hAnsi="Arial"/>
          <w:color w:val="1A1A1A"/>
          <w:sz w:val="21"/>
          <w:szCs w:val="21"/>
        </w:rPr>
        <w:t xml:space="preserve">Duly filled and signed Claim Form (provided by insurer/TPA)</w:t>
      </w:r>
    </w:p>
    <w:p>
      <w:pPr>
        <w:pStyle w:val="ListParagraph"/>
        <w:numPr>
          <w:ilvl w:val="0"/>
          <w:numId w:val="3"/>
        </w:numPr>
        <w:spacing w:after="40" w:before="40"/>
      </w:pPr>
      <w:r>
        <w:rPr>
          <w:rFonts w:ascii="Arial" w:cs="Arial" w:eastAsia="Arial" w:hAnsi="Arial"/>
          <w:color w:val="1A1A1A"/>
          <w:sz w:val="21"/>
          <w:szCs w:val="21"/>
        </w:rPr>
        <w:t xml:space="preserve">Policy document / Insurance certificate copy</w:t>
      </w:r>
    </w:p>
    <w:p>
      <w:pPr>
        <w:pStyle w:val="ListParagraph"/>
        <w:numPr>
          <w:ilvl w:val="0"/>
          <w:numId w:val="3"/>
        </w:numPr>
        <w:spacing w:after="40" w:before="40"/>
      </w:pPr>
      <w:r>
        <w:rPr>
          <w:rFonts w:ascii="Arial" w:cs="Arial" w:eastAsia="Arial" w:hAnsi="Arial"/>
          <w:color w:val="1A1A1A"/>
          <w:sz w:val="21"/>
          <w:szCs w:val="21"/>
        </w:rPr>
        <w:t xml:space="preserve">Photo identity proof of the claimant</w:t>
      </w:r>
    </w:p>
    <w:p>
      <w:pPr>
        <w:pStyle w:val="ListParagraph"/>
        <w:numPr>
          <w:ilvl w:val="0"/>
          <w:numId w:val="3"/>
        </w:numPr>
        <w:spacing w:after="40" w:before="40"/>
      </w:pPr>
      <w:r>
        <w:rPr>
          <w:rFonts w:ascii="Arial" w:cs="Arial" w:eastAsia="Arial" w:hAnsi="Arial"/>
          <w:color w:val="1A1A1A"/>
          <w:sz w:val="21"/>
          <w:szCs w:val="21"/>
        </w:rPr>
        <w:t xml:space="preserve">Primary event documents (FIR, Discharge Summary, Bills, etc.)</w:t>
      </w:r>
    </w:p>
    <w:p>
      <w:pPr>
        <w:pStyle w:val="ListParagraph"/>
        <w:numPr>
          <w:ilvl w:val="0"/>
          <w:numId w:val="3"/>
        </w:numPr>
        <w:spacing w:after="40" w:before="40"/>
      </w:pPr>
      <w:r>
        <w:rPr>
          <w:rFonts w:ascii="Arial" w:cs="Arial" w:eastAsia="Arial" w:hAnsi="Arial"/>
          <w:color w:val="1A1A1A"/>
          <w:sz w:val="21"/>
          <w:szCs w:val="21"/>
        </w:rPr>
        <w:t xml:space="preserve">Supporting medical/technical documents in chronological order</w:t>
      </w:r>
    </w:p>
    <w:p>
      <w:pPr>
        <w:pStyle w:val="ListParagraph"/>
        <w:numPr>
          <w:ilvl w:val="0"/>
          <w:numId w:val="3"/>
        </w:numPr>
        <w:spacing w:after="40" w:before="40"/>
      </w:pPr>
      <w:r>
        <w:rPr>
          <w:rFonts w:ascii="Arial" w:cs="Arial" w:eastAsia="Arial" w:hAnsi="Arial"/>
          <w:color w:val="1A1A1A"/>
          <w:sz w:val="21"/>
          <w:szCs w:val="21"/>
        </w:rPr>
        <w:t xml:space="preserve">Bank account details and cancelled cheque for direct payment</w:t>
      </w:r>
    </w:p>
    <w:p>
      <w:pPr>
        <w:pStyle w:val="ListParagraph"/>
        <w:numPr>
          <w:ilvl w:val="0"/>
          <w:numId w:val="3"/>
        </w:numPr>
        <w:spacing w:after="40" w:before="40"/>
      </w:pPr>
      <w:r>
        <w:rPr>
          <w:rFonts w:ascii="Arial" w:cs="Arial" w:eastAsia="Arial" w:hAnsi="Arial"/>
          <w:color w:val="1A1A1A"/>
          <w:sz w:val="21"/>
          <w:szCs w:val="21"/>
        </w:rPr>
        <w:t xml:space="preserve">Any additional insurer-specific forms or declarations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402A" w:sz="1"/>
              <w:left w:val="single" w:color="C9402A" w:sz="12"/>
              <w:bottom w:val="single" w:color="C9402A" w:sz="1"/>
              <w:right w:val="single" w:color="C9402A" w:sz="1"/>
            </w:tcBorders>
            <w:shd w:fill="FDECEA" w:val="clear"/>
            <w:tcMar>
              <w:top w:type="dxa" w:w="100"/>
              <w:left w:type="dxa" w:w="200"/>
              <w:bottom w:type="dxa" w:w="100"/>
              <w:right w:type="dxa" w:w="160"/>
            </w:tcMar>
          </w:tcPr>
          <w:p>
            <w:r>
              <w:rPr>
                <w:rFonts w:ascii="Arial" w:cs="Arial" w:eastAsia="Arial" w:hAnsi="Arial"/>
                <w:color w:val="1A1A1A"/>
                <w:sz w:val="21"/>
                <w:szCs w:val="21"/>
              </w:rPr>
              <w:t xml:space="preserve">CRITICAL RULE — Document Retention: Retain photocopies of EVERY document submitted. Insurers may lose paperwork, and having your own copies allows you to resubmit quickly. Photograph all physical documents with timestamps before mailing.</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3.  Understanding Claim Types</w:t>
      </w:r>
    </w:p>
    <w:p>
      <w:pPr>
        <w:pStyle w:val="Heading2"/>
        <w:spacing w:after="120" w:before="280"/>
      </w:pPr>
      <w:r>
        <w:rPr>
          <w:rFonts w:ascii="Arial" w:cs="Arial" w:eastAsia="Arial" w:hAnsi="Arial"/>
          <w:b/>
          <w:bCs/>
          <w:color w:val="2E75B6"/>
          <w:sz w:val="26"/>
          <w:szCs w:val="26"/>
        </w:rPr>
        <w:t xml:space="preserve">3.1  Health Insurance Claim Types</w:t>
      </w:r>
    </w:p>
    <w:p>
      <w:pPr>
        <w:spacing w:after="80" w:before="60"/>
        <w:jc w:val="both"/>
      </w:pPr>
      <w:r>
        <w:rPr>
          <w:rFonts w:ascii="Arial" w:cs="Arial" w:eastAsia="Arial" w:hAnsi="Arial"/>
          <w:color w:val="1A1A1A"/>
          <w:sz w:val="22"/>
          <w:szCs w:val="22"/>
        </w:rPr>
        <w:t xml:space="preserve">Health insurance claims are categorized based on the nature of medical treatment, the mode of payment, and whether the hospital is on the insurer's network. Understanding the type of claim you are filing is essential because each type has different documentation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Claim Type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Cashless — Planned Hospitalization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Hospital treatment booked in advance at a network hospital. Pre-authorization is obtained before treatment begins.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Cashless — Emergency Hospitalization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Unplanned admission to a network hospital due to emergency. Pre-authorization requested within 24 hours of admission.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Reimbursement — Network Hospital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Treatment at a network hospital but the patient pays first and seeks refund from the insurer post-discharge.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Reimbursement — Non-Network Hospital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Treatment at a hospital not on the insurer's panel. Full payment made by patient; reimbursement sought afterward.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Day Care Procedure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Medical procedures requiring less than 24 hours of hospitalization (e.g., dialysis, chemotherapy, cataract surgery).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Domiciliary Hospitalization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Treatment at home due to inability to be moved to a hospital or non-availability of hospital beds.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Maternity &amp; Newborn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Claims arising from childbirth, complications of pregnancy, and coverage for the newborn under the family policy.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Critical Illness Claims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Lump sum benefit claims triggered by diagnosis of a specified critical illness (cancer, heart attack, stroke,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Outpatient (OPD)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Claims for consultation, diagnostics, and pharmacy expenses incurred without hospitalization, if covered under the policy.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Mental Health Claims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Claims for psychiatric inpatient or outpatient treatment under policies compliant with the Mental Healthcare Act, 2017.</w:t>
            </w:r>
          </w:p>
        </w:tc>
      </w:tr>
    </w:tbl>
    <w:p>
      <w:pPr>
        <w:spacing w:after="60" w:before="100"/>
      </w:pPr>
      <w:r>
        <w:t xml:space="preserve"/>
      </w:r>
    </w:p>
    <w:p>
      <w:pPr>
        <w:pStyle w:val="Heading2"/>
        <w:spacing w:after="120" w:before="280"/>
      </w:pPr>
      <w:r>
        <w:rPr>
          <w:rFonts w:ascii="Arial" w:cs="Arial" w:eastAsia="Arial" w:hAnsi="Arial"/>
          <w:b/>
          <w:bCs/>
          <w:color w:val="2E75B6"/>
          <w:sz w:val="26"/>
          <w:szCs w:val="26"/>
        </w:rPr>
        <w:t xml:space="preserve">3.2  Car Accident Claim Types</w:t>
      </w:r>
    </w:p>
    <w:p>
      <w:pPr>
        <w:spacing w:after="80" w:before="60"/>
        <w:jc w:val="both"/>
      </w:pPr>
      <w:r>
        <w:rPr>
          <w:rFonts w:ascii="Arial" w:cs="Arial" w:eastAsia="Arial" w:hAnsi="Arial"/>
          <w:color w:val="1A1A1A"/>
          <w:sz w:val="22"/>
          <w:szCs w:val="22"/>
        </w:rPr>
        <w:t xml:space="preserve">Motor insurance claims are governed by the Motor Vehicles Act and IRDAI guidelines. The type of claim determines the documents required and the liability of the insurance company.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Claim Type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Own Damage (OD) — Accident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Damage to the insured vehicle caused by a road accident, collision, or overturning.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Own Damage — Natural Calamity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Damage caused by flood, earthquake, cyclone, landslide, hailstorm, or other natural disasters.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Third Party Liability (TPL) — Property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Damage caused by the insured vehicle to a third party's property (vehicle, building, etc.).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Third Party Liability — Bodily Injury/Death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Bodily injury or death caused to a third party (pedestrian, other vehicle occupants) by the insured vehicle.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Total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When the cost of repair exceeds 75% of the Insured Declared Value (IDV) of the vehicle, it is declared a total loss.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Constructive Total Loss (CTL)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When salvage repair is technically possible but economically unviable or where the vehicle cannot be retrieved.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Theft Claim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 filed when the insured vehicle is stolen and not recovered within 90 days of the theft being reported.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Personal Accident (PA) Cover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 for death or disability of the owner-driver resulting from an accident involving the insured vehicle.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Passenger Cover Claim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 for injury or death of named passengers under an optional passenger cover add-on.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Roadside Assistance Claim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Claims for towing, battery jump-start, flat tyre, or fuel assistance under RSA add-on coverage.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A — HEALTH INSURANCE CLAIMS</w:t>
            </w:r>
          </w:p>
        </w:tc>
      </w:tr>
    </w:tbl>
    <w:p>
      <w:pPr>
        <w:spacing w:after="60" w:before="8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4.  Health Insurance Claims — Master Checklist</w:t>
      </w:r>
    </w:p>
    <w:p>
      <w:pPr>
        <w:spacing w:after="80" w:before="60"/>
        <w:jc w:val="both"/>
      </w:pPr>
      <w:r>
        <w:rPr>
          <w:rFonts w:ascii="Arial" w:cs="Arial" w:eastAsia="Arial" w:hAnsi="Arial"/>
          <w:color w:val="1A1A1A"/>
          <w:sz w:val="22"/>
          <w:szCs w:val="22"/>
        </w:rPr>
        <w:t xml:space="preserve">The following checklists are organized by claim type. All documents listed under Section 4.1 (Universal Documents) are required for EVERY health insurance claim, in addition to the type-specific documents listed in the subsequent subsections.</w:t>
      </w:r>
    </w:p>
    <w:p>
      <w:pPr>
        <w:spacing w:after="60" w:before="60"/>
      </w:pPr>
      <w:r>
        <w:t xml:space="preserve"/>
      </w:r>
    </w:p>
    <w:p>
      <w:pPr>
        <w:pStyle w:val="Heading2"/>
        <w:spacing w:after="120" w:before="280"/>
      </w:pPr>
      <w:r>
        <w:rPr>
          <w:rFonts w:ascii="Arial" w:cs="Arial" w:eastAsia="Arial" w:hAnsi="Arial"/>
          <w:b/>
          <w:bCs/>
          <w:color w:val="1B3A6B"/>
          <w:sz w:val="26"/>
          <w:szCs w:val="26"/>
        </w:rPr>
        <w:t xml:space="preserve">4.1  Universal Health Claim Documents (Required for ALL Health Claims)</w:t>
      </w:r>
    </w:p>
    <w:p>
      <w:pPr>
        <w:spacing w:after="80" w:before="60"/>
        <w:jc w:val="both"/>
      </w:pPr>
      <w:r>
        <w:rPr>
          <w:rFonts w:ascii="Arial" w:cs="Arial" w:eastAsia="Arial" w:hAnsi="Arial"/>
          <w:color w:val="1A1A1A"/>
          <w:sz w:val="22"/>
          <w:szCs w:val="22"/>
        </w:rPr>
        <w:t xml:space="preserve">These documents form the foundation of every health insurance claim submission. Without these, no claim will be processed, regardless of its merits.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4800"/>
      </w:tblGrid>
      <w:tr>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4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 &amp; 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Duly Filled Claim 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Original, signed by insured/nominee. Available from insurer website or TPA. Both Part A (patient/hospital) and Part B (treating doctor) must be completed.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2</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Original Hospital Bills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Itemized final bill from the hospital showing all charges. Must be on hospital letterhead with stamp and authorized signatory.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Discharge Summary / Discharge Card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Original, issued by the treating hospital. Must include diagnosis (ICD code), treatment given, procedures performed, duration of stay, and condition at discharge.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4</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Policy Document / E-Policy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Self-attested copy of the insurance policy schedule showing the insured's name, policy number, sum insured, and validity period.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Photo Identity Proof (Claimant)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Aadhaar card, PAN card, passport, voter ID, or driving licence. Must be valid as of date of claim.</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6</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Age Proof (first claim or on request)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Birth certificate, Aadhaar, school leaving certificate, or passport. Required to confirm insured's age matches policy records.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Health Card / TPA Card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Insurance health card or TPA card issued at policy issuance. Required for cashless and as identity for reimbursement.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8</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NEFT / Bank Details + Cancelled Cheque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Account holder name must match policy. Required for reimbursement credit. Provide copy of passbook first page if no cancelled cheque available.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Doctor's Prescriptions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prescriptions written by treating doctor during hospitalization and discharge. Must show doctor's registration number and hospital stamp.</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Investigation Reports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blood reports, X-rays, MRI/CT scans, ECG, echo, biopsy reports, pathology reports — both in original and attested copy format.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Pharmacy Bills (Original)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Itemized pharmacy bills with medicine names (generic/brand), quantities, and amounts. Must correspond to prescriptions submitted.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12</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Operation Theatre Notes (if surgical)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OT notes signed by surgeon describing procedure, anaesthesia, findings, and implants used. Required for all surgical claims.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402A" w:sz="1"/>
              <w:left w:val="single" w:color="C9402A" w:sz="12"/>
              <w:bottom w:val="single" w:color="C9402A" w:sz="1"/>
              <w:right w:val="single" w:color="C9402A" w:sz="1"/>
            </w:tcBorders>
            <w:shd w:fill="FDECEA" w:val="clear"/>
            <w:tcMar>
              <w:top w:type="dxa" w:w="100"/>
              <w:left w:type="dxa" w:w="200"/>
              <w:bottom w:type="dxa" w:w="100"/>
              <w:right w:type="dxa" w:w="160"/>
            </w:tcMar>
          </w:tcPr>
          <w:p>
            <w:r>
              <w:rPr>
                <w:rFonts w:ascii="Arial" w:cs="Arial" w:eastAsia="Arial" w:hAnsi="Arial"/>
                <w:color w:val="1A1A1A"/>
                <w:sz w:val="21"/>
                <w:szCs w:val="21"/>
              </w:rPr>
              <w:t xml:space="preserve">NOTE ON DIGITAL SUBMISSIONS: Many insurers now accept digital claim submissions via their app or portal. In such cases, scan documents at minimum 200 DPI in PDF format. File size should not exceed 5MB per document. Retain physical originals for at least 3 years.</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4.2  Cashless Hospitalization Claims — Additional Requirements</w:t>
      </w:r>
    </w:p>
    <w:p>
      <w:pPr>
        <w:spacing w:after="80" w:before="60"/>
        <w:jc w:val="both"/>
      </w:pPr>
      <w:r>
        <w:rPr>
          <w:rFonts w:ascii="Arial" w:cs="Arial" w:eastAsia="Arial" w:hAnsi="Arial"/>
          <w:color w:val="1A1A1A"/>
          <w:sz w:val="22"/>
          <w:szCs w:val="22"/>
        </w:rPr>
        <w:t xml:space="preserve">For cashless hospitalization, pre-authorization from the TPA or insurer is mandatory. The following documents are required in addition to the universal documents. Pre-authorization must be obtained before treatment in planned cases and within 24 hours for emergencies.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Purpose &amp;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Pre-Authorization Request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Submitted by hospital to TPA/insurer with estimated treatment plan, diagnosis, and expected cost. Must be submitted 48–72 hours before planned admission.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Doctor's Certificate of Medical Necessity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Treating doctor must certify that hospitalization is medically necessary. Must state clinical justification for the procedure or treatment.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Previous Treatment Records (if chronic illness)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Past medical records, previous discharge summaries, and outpatient consultation papers relating to the same condition or pre-existing illness.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Specialist Referral Letter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treatment is at the instance of a specialist, the referral from the primary physician or emergency physician must be provided.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Enhancement Letter (if bills exceed authorization)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actual bills exceed the pre-authorized amount, a formal enhancement request with updated treatment plan and bills must be submitted before discharge.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Implant Stickers / Invoice (surgical cases)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For procedures involving implants (stents, knee replacements, lens, etc.), original sticker from the implant packaging and manufacturer's invoice are mandatory.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Insurance Coordination Letter (if dual insurance)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insured is covered under two policies, a coordination of benefits letter and copy of the other policy must be submitted.</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4.3  Reimbursement Claims — Additional Requirements</w:t>
      </w:r>
    </w:p>
    <w:p>
      <w:pPr>
        <w:spacing w:after="80" w:before="60"/>
        <w:jc w:val="both"/>
      </w:pPr>
      <w:r>
        <w:rPr>
          <w:rFonts w:ascii="Arial" w:cs="Arial" w:eastAsia="Arial" w:hAnsi="Arial"/>
          <w:color w:val="1A1A1A"/>
          <w:sz w:val="22"/>
          <w:szCs w:val="22"/>
        </w:rPr>
        <w:t xml:space="preserve">Reimbursement claims arise when the insured pays for treatment out-of-pocket and then seeks repayment from the insurer. These require more extensive documentation than cashless claims because the insurer must independently verify all charges incurred.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Purpose &amp;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Admission Slip / Registration 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Proof of hospital admission showing date, time, and reason for admission. Must match the dates in the discharge summary.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All Payment Receipts (Original)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Receipts for every payment made to the hospital, pharmacy, laboratory, and other service providers. Amount must match itemized bills.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Blood Bank Receipts (if applicable)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For claims involving blood transfusions, receipts from the blood bank showing blood group, units purchased, and amount paid.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Ambulance Receipt (if applicable)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For reimbursement of ambulance charges, the original receipt from the ambulance service provider with registration number and distance travelled.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Food &amp; Attendant Charges Receipts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the policy covers attendant allowance or hospital meal charges, original receipts must be submitted.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Consultation Fee Receipts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Receipts for all visiting consultant, anaesthesiologist, and specialist fees charged separately from the hospital bill.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Discharge Against Medical Advice (DAMA) Declaration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patient left hospital before physician recommended discharge, a DAMA declaration form signed by next of kin is required.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Indoor Case Papers / Case Sheet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Complete clinical notes maintained by the nursing staff and treating doctors throughout the hospitalization. Required for claims over Rs. 1 lakh or for scrutiny-flagged claims.</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4.4  Day Care Procedure Claims</w:t>
      </w:r>
    </w:p>
    <w:p>
      <w:pPr>
        <w:spacing w:after="80" w:before="60"/>
        <w:jc w:val="both"/>
      </w:pPr>
      <w:r>
        <w:rPr>
          <w:rFonts w:ascii="Arial" w:cs="Arial" w:eastAsia="Arial" w:hAnsi="Arial"/>
          <w:color w:val="1A1A1A"/>
          <w:sz w:val="22"/>
          <w:szCs w:val="22"/>
        </w:rPr>
        <w:t xml:space="preserve">Day care procedures are approved surgical or medical procedures performed in less than 24 hours under general or local anaesthesia. IRDAI mandates that all standard health policies cover at least 540 daycare procedures. Documentation for these claims is as follows: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Filled claim form with the specific day care procedure code (as per IRDAI-approved list) mentioned by the treating doctor.</w:t>
      </w:r>
    </w:p>
    <w:p>
      <w:pPr>
        <w:pStyle w:val="ListParagraph"/>
        <w:numPr>
          <w:ilvl w:val="0"/>
          <w:numId w:val="2"/>
        </w:numPr>
        <w:spacing w:after="40" w:before="40"/>
      </w:pPr>
      <w:r>
        <w:rPr>
          <w:rFonts w:ascii="Arial" w:cs="Arial" w:eastAsia="Arial" w:hAnsi="Arial"/>
          <w:b w:val="false"/>
          <w:bCs w:val="false"/>
          <w:color w:val="1A1A1A"/>
          <w:sz w:val="21"/>
          <w:szCs w:val="21"/>
        </w:rPr>
        <w:t xml:space="preserve">Doctor's certificate confirming that the procedure necessitated anaesthesia or a specialized surgical environment and could not be performed in an outpatient setting.</w:t>
      </w:r>
    </w:p>
    <w:p>
      <w:pPr>
        <w:pStyle w:val="ListParagraph"/>
        <w:numPr>
          <w:ilvl w:val="0"/>
          <w:numId w:val="2"/>
        </w:numPr>
        <w:spacing w:after="40" w:before="40"/>
      </w:pPr>
      <w:r>
        <w:rPr>
          <w:rFonts w:ascii="Arial" w:cs="Arial" w:eastAsia="Arial" w:hAnsi="Arial"/>
          <w:b w:val="false"/>
          <w:bCs w:val="false"/>
          <w:color w:val="1A1A1A"/>
          <w:sz w:val="21"/>
          <w:szCs w:val="21"/>
        </w:rPr>
        <w:t xml:space="preserve">Pre and post-procedure prescriptions and investigation reports confirming the medical necessity of the procedure.</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procedure charges receipt, consumables bill, and surgeon/anaesthesiologist fee receipts.</w:t>
      </w:r>
    </w:p>
    <w:p>
      <w:pPr>
        <w:pStyle w:val="ListParagraph"/>
        <w:numPr>
          <w:ilvl w:val="0"/>
          <w:numId w:val="2"/>
        </w:numPr>
        <w:spacing w:after="40" w:before="40"/>
      </w:pPr>
      <w:r>
        <w:rPr>
          <w:rFonts w:ascii="Arial" w:cs="Arial" w:eastAsia="Arial" w:hAnsi="Arial"/>
          <w:b w:val="false"/>
          <w:bCs w:val="false"/>
          <w:color w:val="1A1A1A"/>
          <w:sz w:val="21"/>
          <w:szCs w:val="21"/>
        </w:rPr>
        <w:t xml:space="preserve">Procedure notes signed by the operating surgeon, including start and end time of the procedure.</w:t>
      </w:r>
    </w:p>
    <w:p>
      <w:pPr>
        <w:pStyle w:val="ListParagraph"/>
        <w:numPr>
          <w:ilvl w:val="0"/>
          <w:numId w:val="2"/>
        </w:numPr>
        <w:spacing w:after="40" w:before="40"/>
      </w:pPr>
      <w:r>
        <w:rPr>
          <w:rFonts w:ascii="Arial" w:cs="Arial" w:eastAsia="Arial" w:hAnsi="Arial"/>
          <w:b w:val="false"/>
          <w:bCs w:val="false"/>
          <w:color w:val="1A1A1A"/>
          <w:sz w:val="21"/>
          <w:szCs w:val="21"/>
        </w:rPr>
        <w:t xml:space="preserve">Histopathology report if any tissue was removed during the procedure (biopsy, polyp removal, etc.).</w:t>
      </w:r>
    </w:p>
    <w:p>
      <w:pPr>
        <w:pStyle w:val="ListParagraph"/>
        <w:numPr>
          <w:ilvl w:val="0"/>
          <w:numId w:val="2"/>
        </w:numPr>
        <w:spacing w:after="40" w:before="40"/>
      </w:pPr>
      <w:r>
        <w:rPr>
          <w:rFonts w:ascii="Arial" w:cs="Arial" w:eastAsia="Arial" w:hAnsi="Arial"/>
          <w:b w:val="false"/>
          <w:bCs w:val="false"/>
          <w:color w:val="1A1A1A"/>
          <w:sz w:val="21"/>
          <w:szCs w:val="21"/>
        </w:rPr>
        <w:t xml:space="preserve">Follow-up prescription from the treating doctor confirming successful completion of the procedure.</w:t>
      </w:r>
    </w:p>
    <w:p>
      <w:pPr>
        <w:spacing w:after="60" w:before="80"/>
      </w:pPr>
      <w:r>
        <w:t xml:space="preserve"/>
      </w:r>
    </w:p>
    <w:p>
      <w:pPr>
        <w:pStyle w:val="Heading2"/>
        <w:spacing w:after="120" w:before="280"/>
      </w:pPr>
      <w:r>
        <w:rPr>
          <w:rFonts w:ascii="Arial" w:cs="Arial" w:eastAsia="Arial" w:hAnsi="Arial"/>
          <w:b/>
          <w:bCs/>
          <w:color w:val="2E75B6"/>
          <w:sz w:val="26"/>
          <w:szCs w:val="26"/>
        </w:rPr>
        <w:t xml:space="preserve">4.5  Maternity &amp; Newborn Claims</w:t>
      </w:r>
    </w:p>
    <w:p>
      <w:pPr>
        <w:spacing w:after="80" w:before="60"/>
        <w:jc w:val="both"/>
      </w:pPr>
      <w:r>
        <w:rPr>
          <w:rFonts w:ascii="Arial" w:cs="Arial" w:eastAsia="Arial" w:hAnsi="Arial"/>
          <w:color w:val="1A1A1A"/>
          <w:sz w:val="22"/>
          <w:szCs w:val="22"/>
        </w:rPr>
        <w:t xml:space="preserve">Maternity claims cover childbirth expenses (normal delivery and caesarean section), complications of pregnancy, and treatment of the newborn. Most policies have a waiting period of 9 to 36 months for maternity benefits. The following documents are required:</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Marriage certificate of the insured (self-attested copy) — required to establish legal relationship.</w:t>
      </w:r>
    </w:p>
    <w:p>
      <w:pPr>
        <w:pStyle w:val="ListParagraph"/>
        <w:numPr>
          <w:ilvl w:val="0"/>
          <w:numId w:val="2"/>
        </w:numPr>
        <w:spacing w:after="40" w:before="40"/>
      </w:pPr>
      <w:r>
        <w:rPr>
          <w:rFonts w:ascii="Arial" w:cs="Arial" w:eastAsia="Arial" w:hAnsi="Arial"/>
          <w:b w:val="false"/>
          <w:bCs w:val="false"/>
          <w:color w:val="1A1A1A"/>
          <w:sz w:val="21"/>
          <w:szCs w:val="21"/>
        </w:rPr>
        <w:t xml:space="preserve">All antenatal consultation records and investigation reports (ultrasound scans, blood tests, urine tests) from conception through delivery.</w:t>
      </w:r>
    </w:p>
    <w:p>
      <w:pPr>
        <w:pStyle w:val="ListParagraph"/>
        <w:numPr>
          <w:ilvl w:val="0"/>
          <w:numId w:val="2"/>
        </w:numPr>
        <w:spacing w:after="40" w:before="40"/>
      </w:pPr>
      <w:r>
        <w:rPr>
          <w:rFonts w:ascii="Arial" w:cs="Arial" w:eastAsia="Arial" w:hAnsi="Arial"/>
          <w:b w:val="false"/>
          <w:bCs w:val="false"/>
          <w:color w:val="1A1A1A"/>
          <w:sz w:val="21"/>
          <w:szCs w:val="21"/>
        </w:rPr>
        <w:t xml:space="preserve">Delivery summary / Labour room notes describing type of delivery, complications, and condition of mother and child at birth.</w:t>
      </w:r>
    </w:p>
    <w:p>
      <w:pPr>
        <w:pStyle w:val="ListParagraph"/>
        <w:numPr>
          <w:ilvl w:val="0"/>
          <w:numId w:val="2"/>
        </w:numPr>
        <w:spacing w:after="40" w:before="40"/>
      </w:pPr>
      <w:r>
        <w:rPr>
          <w:rFonts w:ascii="Arial" w:cs="Arial" w:eastAsia="Arial" w:hAnsi="Arial"/>
          <w:b w:val="false"/>
          <w:bCs w:val="false"/>
          <w:color w:val="1A1A1A"/>
          <w:sz w:val="21"/>
          <w:szCs w:val="21"/>
        </w:rPr>
        <w:t xml:space="preserve">Birth certificate of the newborn (if coverage is sought for the newborn under the family floater policy).</w:t>
      </w:r>
    </w:p>
    <w:p>
      <w:pPr>
        <w:pStyle w:val="ListParagraph"/>
        <w:numPr>
          <w:ilvl w:val="0"/>
          <w:numId w:val="2"/>
        </w:numPr>
        <w:spacing w:after="40" w:before="40"/>
      </w:pPr>
      <w:r>
        <w:rPr>
          <w:rFonts w:ascii="Arial" w:cs="Arial" w:eastAsia="Arial" w:hAnsi="Arial"/>
          <w:b w:val="false"/>
          <w:bCs w:val="false"/>
          <w:color w:val="1A1A1A"/>
          <w:sz w:val="21"/>
          <w:szCs w:val="21"/>
        </w:rPr>
        <w:t xml:space="preserve">Paediatrician's examination notes and NICU records if the newborn required intensive care or special treatment.</w:t>
      </w:r>
    </w:p>
    <w:p>
      <w:pPr>
        <w:pStyle w:val="ListParagraph"/>
        <w:numPr>
          <w:ilvl w:val="0"/>
          <w:numId w:val="2"/>
        </w:numPr>
        <w:spacing w:after="40" w:before="40"/>
      </w:pPr>
      <w:r>
        <w:rPr>
          <w:rFonts w:ascii="Arial" w:cs="Arial" w:eastAsia="Arial" w:hAnsi="Arial"/>
          <w:b w:val="false"/>
          <w:bCs w:val="false"/>
          <w:color w:val="1A1A1A"/>
          <w:sz w:val="21"/>
          <w:szCs w:val="21"/>
        </w:rPr>
        <w:t xml:space="preserve">All vaccination receipts and paediatrician fees incurred during the hospitalization.</w:t>
      </w:r>
    </w:p>
    <w:p>
      <w:pPr>
        <w:pStyle w:val="ListParagraph"/>
        <w:numPr>
          <w:ilvl w:val="0"/>
          <w:numId w:val="2"/>
        </w:numPr>
        <w:spacing w:after="40" w:before="40"/>
      </w:pPr>
      <w:r>
        <w:rPr>
          <w:rFonts w:ascii="Arial" w:cs="Arial" w:eastAsia="Arial" w:hAnsi="Arial"/>
          <w:b w:val="false"/>
          <w:bCs w:val="false"/>
          <w:color w:val="1A1A1A"/>
          <w:sz w:val="21"/>
          <w:szCs w:val="21"/>
        </w:rPr>
        <w:t xml:space="preserve">Prescription for post-delivery medications (antibiotics, iron supplements, etc.) along with corresponding pharmacy bills.</w:t>
      </w:r>
    </w:p>
    <w:p>
      <w:pPr>
        <w:pStyle w:val="ListParagraph"/>
        <w:numPr>
          <w:ilvl w:val="0"/>
          <w:numId w:val="2"/>
        </w:numPr>
        <w:spacing w:after="40" w:before="40"/>
      </w:pPr>
      <w:r>
        <w:rPr>
          <w:rFonts w:ascii="Arial" w:cs="Arial" w:eastAsia="Arial" w:hAnsi="Arial"/>
          <w:b w:val="false"/>
          <w:bCs w:val="false"/>
          <w:color w:val="1A1A1A"/>
          <w:sz w:val="21"/>
          <w:szCs w:val="21"/>
        </w:rPr>
        <w:t xml:space="preserve">Endorsement letter or intimation to insurer for addition of newborn to the family floater policy (must be done within 90 days of birth to maintain continuity of coverage).</w:t>
      </w:r>
    </w:p>
    <w:p>
      <w:pPr>
        <w:spacing w:after="60" w:before="80"/>
      </w:pPr>
      <w:r>
        <w:t xml:space="preserve"/>
      </w:r>
    </w:p>
    <w:p>
      <w:pPr>
        <w:pStyle w:val="Heading2"/>
        <w:spacing w:after="120" w:before="280"/>
      </w:pPr>
      <w:r>
        <w:rPr>
          <w:rFonts w:ascii="Arial" w:cs="Arial" w:eastAsia="Arial" w:hAnsi="Arial"/>
          <w:b/>
          <w:bCs/>
          <w:color w:val="2E75B6"/>
          <w:sz w:val="26"/>
          <w:szCs w:val="26"/>
        </w:rPr>
        <w:t xml:space="preserve">4.6  Critical Illness Claims</w:t>
      </w:r>
    </w:p>
    <w:p>
      <w:pPr>
        <w:spacing w:after="80" w:before="60"/>
        <w:jc w:val="both"/>
      </w:pPr>
      <w:r>
        <w:rPr>
          <w:rFonts w:ascii="Arial" w:cs="Arial" w:eastAsia="Arial" w:hAnsi="Arial"/>
          <w:color w:val="1A1A1A"/>
          <w:sz w:val="22"/>
          <w:szCs w:val="22"/>
        </w:rPr>
        <w:t xml:space="preserve">Critical illness (CI) policies pay a pre-agreed lump sum upon diagnosis of a specified illness. These are not reimbursement claims — the benefit is paid irrespective of actual medical expenses. Documentation must conclusively prove the diagnosis and survival period requirement (usually 30 days from diagnosis).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Specialist's diagnosis certificate on letterhead, clearly stating the critical illness diagnosed, date of diagnosis, stage (for cancer), and prognosis.</w:t>
      </w:r>
    </w:p>
    <w:p>
      <w:pPr>
        <w:pStyle w:val="ListParagraph"/>
        <w:numPr>
          <w:ilvl w:val="0"/>
          <w:numId w:val="2"/>
        </w:numPr>
        <w:spacing w:after="40" w:before="40"/>
      </w:pPr>
      <w:r>
        <w:rPr>
          <w:rFonts w:ascii="Arial" w:cs="Arial" w:eastAsia="Arial" w:hAnsi="Arial"/>
          <w:b w:val="false"/>
          <w:bCs w:val="false"/>
          <w:color w:val="1A1A1A"/>
          <w:sz w:val="21"/>
          <w:szCs w:val="21"/>
        </w:rPr>
        <w:t xml:space="preserve">Histopathology / biopsy report for cancer claims — the original pathologist's report with the laboratory's registration number and pathologist's credentials.</w:t>
      </w:r>
    </w:p>
    <w:p>
      <w:pPr>
        <w:pStyle w:val="ListParagraph"/>
        <w:numPr>
          <w:ilvl w:val="0"/>
          <w:numId w:val="2"/>
        </w:numPr>
        <w:spacing w:after="40" w:before="40"/>
      </w:pPr>
      <w:r>
        <w:rPr>
          <w:rFonts w:ascii="Arial" w:cs="Arial" w:eastAsia="Arial" w:hAnsi="Arial"/>
          <w:b w:val="false"/>
          <w:bCs w:val="false"/>
          <w:color w:val="1A1A1A"/>
          <w:sz w:val="21"/>
          <w:szCs w:val="21"/>
        </w:rPr>
        <w:t xml:space="preserve">Angiography report for heart attack/coronary artery claims — original report showing the extent of blockage and confirmation of myocardial infarction.</w:t>
      </w:r>
    </w:p>
    <w:p>
      <w:pPr>
        <w:pStyle w:val="ListParagraph"/>
        <w:numPr>
          <w:ilvl w:val="0"/>
          <w:numId w:val="2"/>
        </w:numPr>
        <w:spacing w:after="40" w:before="40"/>
      </w:pPr>
      <w:r>
        <w:rPr>
          <w:rFonts w:ascii="Arial" w:cs="Arial" w:eastAsia="Arial" w:hAnsi="Arial"/>
          <w:b w:val="false"/>
          <w:bCs w:val="false"/>
          <w:color w:val="1A1A1A"/>
          <w:sz w:val="21"/>
          <w:szCs w:val="21"/>
        </w:rPr>
        <w:t xml:space="preserve">MRI / CT brain scan reports and neurologist's certificate for stroke claims — showing permanent neurological deficit.</w:t>
      </w:r>
    </w:p>
    <w:p>
      <w:pPr>
        <w:pStyle w:val="ListParagraph"/>
        <w:numPr>
          <w:ilvl w:val="0"/>
          <w:numId w:val="2"/>
        </w:numPr>
        <w:spacing w:after="40" w:before="40"/>
      </w:pPr>
      <w:r>
        <w:rPr>
          <w:rFonts w:ascii="Arial" w:cs="Arial" w:eastAsia="Arial" w:hAnsi="Arial"/>
          <w:b w:val="false"/>
          <w:bCs w:val="false"/>
          <w:color w:val="1A1A1A"/>
          <w:sz w:val="21"/>
          <w:szCs w:val="21"/>
        </w:rPr>
        <w:t xml:space="preserve">Cardiac catheterization and echocardiography reports for bypass surgery claims.</w:t>
      </w:r>
    </w:p>
    <w:p>
      <w:pPr>
        <w:pStyle w:val="ListParagraph"/>
        <w:numPr>
          <w:ilvl w:val="0"/>
          <w:numId w:val="2"/>
        </w:numPr>
        <w:spacing w:after="40" w:before="40"/>
      </w:pPr>
      <w:r>
        <w:rPr>
          <w:rFonts w:ascii="Arial" w:cs="Arial" w:eastAsia="Arial" w:hAnsi="Arial"/>
          <w:b w:val="false"/>
          <w:bCs w:val="false"/>
          <w:color w:val="1A1A1A"/>
          <w:sz w:val="21"/>
          <w:szCs w:val="21"/>
        </w:rPr>
        <w:t xml:space="preserve">Transplant committee approval letter and surgeon's report for organ transplant claims.</w:t>
      </w:r>
    </w:p>
    <w:p>
      <w:pPr>
        <w:pStyle w:val="ListParagraph"/>
        <w:numPr>
          <w:ilvl w:val="0"/>
          <w:numId w:val="2"/>
        </w:numPr>
        <w:spacing w:after="40" w:before="40"/>
      </w:pPr>
      <w:r>
        <w:rPr>
          <w:rFonts w:ascii="Arial" w:cs="Arial" w:eastAsia="Arial" w:hAnsi="Arial"/>
          <w:b w:val="false"/>
          <w:bCs w:val="false"/>
          <w:color w:val="1A1A1A"/>
          <w:sz w:val="21"/>
          <w:szCs w:val="21"/>
        </w:rPr>
        <w:t xml:space="preserve">Survival certificate — a certificate from the treating doctor confirming the patient was alive 30 days after diagnosis (the standard survival clause).</w:t>
      </w:r>
    </w:p>
    <w:p>
      <w:pPr>
        <w:pStyle w:val="ListParagraph"/>
        <w:numPr>
          <w:ilvl w:val="0"/>
          <w:numId w:val="2"/>
        </w:numPr>
        <w:spacing w:after="40" w:before="40"/>
      </w:pPr>
      <w:r>
        <w:rPr>
          <w:rFonts w:ascii="Arial" w:cs="Arial" w:eastAsia="Arial" w:hAnsi="Arial"/>
          <w:b w:val="false"/>
          <w:bCs w:val="false"/>
          <w:color w:val="1A1A1A"/>
          <w:sz w:val="21"/>
          <w:szCs w:val="21"/>
        </w:rPr>
        <w:t xml:space="preserve">Complete hospitalization records, discharge summaries, and all investigation reports chronologically arranged.</w:t>
      </w:r>
    </w:p>
    <w:p>
      <w:pPr>
        <w:spacing w:after="60" w:before="80"/>
      </w:pPr>
      <w:r>
        <w:t xml:space="preserve"/>
      </w:r>
    </w:p>
    <w:p>
      <w:pPr>
        <w:pStyle w:val="Heading2"/>
        <w:spacing w:after="120" w:before="280"/>
      </w:pPr>
      <w:r>
        <w:rPr>
          <w:rFonts w:ascii="Arial" w:cs="Arial" w:eastAsia="Arial" w:hAnsi="Arial"/>
          <w:b/>
          <w:bCs/>
          <w:color w:val="2E75B6"/>
          <w:sz w:val="26"/>
          <w:szCs w:val="26"/>
        </w:rPr>
        <w:t xml:space="preserve">4.7  Outpatient (OPD) Claims</w:t>
      </w:r>
    </w:p>
    <w:p>
      <w:pPr>
        <w:spacing w:after="80" w:before="60"/>
        <w:jc w:val="both"/>
      </w:pPr>
      <w:r>
        <w:rPr>
          <w:rFonts w:ascii="Arial" w:cs="Arial" w:eastAsia="Arial" w:hAnsi="Arial"/>
          <w:color w:val="1A1A1A"/>
          <w:sz w:val="22"/>
          <w:szCs w:val="22"/>
        </w:rPr>
        <w:t xml:space="preserve">OPD coverage, though not universal, is increasingly offered under comprehensive health policies and top-up plans. Claims relate to consultations, diagnostics, and pharmacy expenses without overnight hospitalization.</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consulting doctor's prescription with diagnosis, doctor's registration number, clinic address, and date of consultation.</w:t>
      </w:r>
    </w:p>
    <w:p>
      <w:pPr>
        <w:pStyle w:val="ListParagraph"/>
        <w:numPr>
          <w:ilvl w:val="0"/>
          <w:numId w:val="2"/>
        </w:numPr>
        <w:spacing w:after="40" w:before="40"/>
      </w:pPr>
      <w:r>
        <w:rPr>
          <w:rFonts w:ascii="Arial" w:cs="Arial" w:eastAsia="Arial" w:hAnsi="Arial"/>
          <w:b w:val="false"/>
          <w:bCs w:val="false"/>
          <w:color w:val="1A1A1A"/>
          <w:sz w:val="21"/>
          <w:szCs w:val="21"/>
        </w:rPr>
        <w:t xml:space="preserve">Paid consultation fee receipt from the doctor or clinic.</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diagnostic laboratory reports and corresponding paid receipts. The diagnostic centre must be registered and the reports must bear the pathologist's or radiologist's credentials.</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pharmacy bills with medicine names, quantities, and amounts — must correspond to the prescription on the same or proximate dates.</w:t>
      </w:r>
    </w:p>
    <w:p>
      <w:pPr>
        <w:pStyle w:val="ListParagraph"/>
        <w:numPr>
          <w:ilvl w:val="0"/>
          <w:numId w:val="2"/>
        </w:numPr>
        <w:spacing w:after="40" w:before="40"/>
      </w:pPr>
      <w:r>
        <w:rPr>
          <w:rFonts w:ascii="Arial" w:cs="Arial" w:eastAsia="Arial" w:hAnsi="Arial"/>
          <w:b w:val="false"/>
          <w:bCs w:val="false"/>
          <w:color w:val="1A1A1A"/>
          <w:sz w:val="21"/>
          <w:szCs w:val="21"/>
        </w:rPr>
        <w:t xml:space="preserve">Referral letter if the OPD consultation was a specialist referral, along with the referring doctor's prescription.</w:t>
      </w:r>
    </w:p>
    <w:p>
      <w:pPr>
        <w:pStyle w:val="ListParagraph"/>
        <w:numPr>
          <w:ilvl w:val="0"/>
          <w:numId w:val="2"/>
        </w:numPr>
        <w:spacing w:after="40" w:before="40"/>
      </w:pPr>
      <w:r>
        <w:rPr>
          <w:rFonts w:ascii="Arial" w:cs="Arial" w:eastAsia="Arial" w:hAnsi="Arial"/>
          <w:b w:val="false"/>
          <w:bCs w:val="false"/>
          <w:color w:val="1A1A1A"/>
          <w:sz w:val="21"/>
          <w:szCs w:val="21"/>
        </w:rPr>
        <w:t xml:space="preserve">Physiotherapy bills and physiotherapist's case notes if claiming for physiotherapy (must be prescribed by a doctor).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PART B — CAR ACCIDENT CLAIMS</w:t>
            </w:r>
          </w:p>
        </w:tc>
      </w:tr>
    </w:tbl>
    <w:p>
      <w:pPr>
        <w:spacing w:after="60" w:before="80"/>
      </w:pPr>
      <w:r>
        <w:t xml:space="preserve"/>
      </w:r>
    </w:p>
    <w:p>
      <w:pPr>
        <w:pStyle w:val="Heading1"/>
        <w:pBdr>
          <w:bottom w:val="single" w:color="2E75B6" w:sz="6" w:space="4"/>
        </w:pBdr>
        <w:spacing w:after="160" w:before="360"/>
      </w:pPr>
      <w:r>
        <w:rPr>
          <w:rFonts w:ascii="Arial" w:cs="Arial" w:eastAsia="Arial" w:hAnsi="Arial"/>
          <w:b/>
          <w:bCs/>
          <w:color w:val="1B3A6B"/>
          <w:sz w:val="32"/>
          <w:szCs w:val="32"/>
        </w:rPr>
        <w:t xml:space="preserve">5.  Car Accident Claims — Master Checklist</w:t>
      </w:r>
    </w:p>
    <w:p>
      <w:pPr>
        <w:spacing w:after="80" w:before="60"/>
        <w:jc w:val="both"/>
      </w:pPr>
      <w:r>
        <w:rPr>
          <w:rFonts w:ascii="Arial" w:cs="Arial" w:eastAsia="Arial" w:hAnsi="Arial"/>
          <w:color w:val="1A1A1A"/>
          <w:sz w:val="22"/>
          <w:szCs w:val="22"/>
        </w:rPr>
        <w:t xml:space="preserve">Motor insurance claims involve multiple parties — the insured, the insurer, the third party, law enforcement, and vehicle repair workshops. Documentation requirements are therefore more diverse. The following checklists are organized by claim type, with universal documents applicable to all motor claims listed first.</w:t>
      </w:r>
    </w:p>
    <w:p>
      <w:pPr>
        <w:spacing w:after="60" w:before="60"/>
      </w:pPr>
      <w:r>
        <w:t xml:space="preserve"/>
      </w:r>
    </w:p>
    <w:p>
      <w:pPr>
        <w:pStyle w:val="Heading2"/>
        <w:spacing w:after="120" w:before="280"/>
      </w:pPr>
      <w:r>
        <w:rPr>
          <w:rFonts w:ascii="Arial" w:cs="Arial" w:eastAsia="Arial" w:hAnsi="Arial"/>
          <w:b/>
          <w:bCs/>
          <w:color w:val="C9402A"/>
          <w:sz w:val="26"/>
          <w:szCs w:val="26"/>
        </w:rPr>
        <w:t xml:space="preserve">5.1  Universal Motor Claim Documents (Required for ALL Car Accident Claims)</w:t>
      </w:r>
    </w:p>
    <w:p>
      <w:pPr>
        <w:spacing w:after="80" w:before="60"/>
        <w:jc w:val="both"/>
      </w:pPr>
      <w:r>
        <w:rPr>
          <w:rFonts w:ascii="Arial" w:cs="Arial" w:eastAsia="Arial" w:hAnsi="Arial"/>
          <w:color w:val="1A1A1A"/>
          <w:sz w:val="22"/>
          <w:szCs w:val="22"/>
        </w:rPr>
        <w:t xml:space="preserve">Every motor insurance claim — regardless of the type of loss — must be supported by the following core documents. Absence of even one of these will result in the claim being placed on hold.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4800"/>
      </w:tblGrid>
      <w:tr>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4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Details &amp; 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Motor Claim 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Duly filled and signed by the registered owner/insured. Available at the insurer's office or website. Must detail: date, time, place, and description of accident.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2</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Copy of Insurance Policy / Certificate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Self-attested copy showing vehicle registration number, policy period, coverage type, IDV, and named insured. Must be valid at time of accident.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Original Registration Certificate (RC)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Original RC book of the insured vehicle. Must match the vehicle involved in the accident. Verify name transfer is complete if recently purchased.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4</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Valid Driving Licence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Driving licence of the person who was driving at the time of the accident. Must be valid and appropriate for the vehicle class (LMV, commercial, etc.).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FIR (First Information Report)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FIR filed with the local police station where the accident occurred. Mandatory for all accidents, theft, and third-party claims. Must be obtained within 24 hours.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6</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Detailed Accident Spot Photographs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Photographs of the damaged vehicle taken at the accident site before the vehicle is moved. Must show all angles of damage, the accident scene, and if possible, third-party vehicles/property.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Repair Estimate from Authorized Workshop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Detailed written estimate from an insurer-empanelled or authorized workshop listing all parts to be replaced (with part numbers) and labour charges.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8</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Vehicle Fitness Certificate (commercial vehicles)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Fitness certificate issued by the RTO confirming the vehicle was roadworthy at the time of the accident. Required for commercial vehicles; not mandatory for private cars.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Pan Card (claims above Rs. 1 lakh)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For claim settlements above Rs. 1 lakh, PAN card copy of the insured must be provided for TDS purposes.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10</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Bank Account Details + Cancelled Cheque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For direct bank transfer of settled claim amount. Account must be in the insured/registered owner's name.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402A" w:sz="1"/>
              <w:left w:val="single" w:color="C9402A" w:sz="12"/>
              <w:bottom w:val="single" w:color="C9402A" w:sz="1"/>
              <w:right w:val="single" w:color="C9402A" w:sz="1"/>
            </w:tcBorders>
            <w:shd w:fill="FDECEA" w:val="clear"/>
            <w:tcMar>
              <w:top w:type="dxa" w:w="100"/>
              <w:left w:type="dxa" w:w="200"/>
              <w:bottom w:type="dxa" w:w="100"/>
              <w:right w:type="dxa" w:w="160"/>
            </w:tcMar>
          </w:tcPr>
          <w:p>
            <w:r>
              <w:rPr>
                <w:rFonts w:ascii="Arial" w:cs="Arial" w:eastAsia="Arial" w:hAnsi="Arial"/>
                <w:color w:val="1A1A1A"/>
                <w:sz w:val="21"/>
                <w:szCs w:val="21"/>
              </w:rPr>
              <w:t xml:space="preserve">CRITICAL RULE — Vehicle Movement: NEVER move the damaged vehicle from the accident spot before taking photographs and intimating the insurer (except in cases of traffic obstruction or medical emergency). Moving the vehicle without documentation or insurer permission can be treated as tampering with evidence and can result in rejection of the claim.</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5.2  Own Damage (OD) Claims — Additional Requirements</w:t>
      </w:r>
    </w:p>
    <w:p>
      <w:pPr>
        <w:spacing w:after="80" w:before="60"/>
        <w:jc w:val="both"/>
      </w:pPr>
      <w:r>
        <w:rPr>
          <w:rFonts w:ascii="Arial" w:cs="Arial" w:eastAsia="Arial" w:hAnsi="Arial"/>
          <w:color w:val="1A1A1A"/>
          <w:sz w:val="22"/>
          <w:szCs w:val="22"/>
        </w:rPr>
        <w:t xml:space="preserve">Own damage claims cover physical damage to the insured vehicle caused by accidents, collisions, or external causes. These are covered under the comprehensive insurance policy (not under third-party only cover). The following additional documents are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Purpose &amp;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Surveyor's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The insurer appoints an independent licensed surveyor to inspect the damaged vehicle. The surveyor's report is the primary basis for claim assessment. The insured must cooperate fully with the survey and not authorize any repair before survey completion.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Final Repair Bill (after approval)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 invoice from the workshop after repairs are complete, showing actual parts replaced (with part numbers), labour charges, taxes, and total amount. Must be signed by the workshop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Parts Replaced — Physical Verification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For claims involving major parts replacement, the workshop must confirm the old parts have been made available for insurer inspection (salvage surrender).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Towing Receipt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the vehicle was towed from the accident spot to the workshop, original towing receipt showing distance and amount charged.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Vehicle Keys Certificate (for safety-device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the claim involves security features (airbags, anti-theft), confirmation that all keys are intact and working.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Witness Statement (optional but recommended)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 signed statement from an independent witness to the accident can strengthen the claim and counter any disputes about the circumstances of the accident.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On-Road Documents at Time of Accident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Pollution Under Control (PUC) certificate valid at the time of accident. Expired PUC is a ground for policy voidance.</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5.3  Third Party Liability (TPL) Claims — Additional Requirements</w:t>
      </w:r>
    </w:p>
    <w:p>
      <w:pPr>
        <w:spacing w:after="80" w:before="60"/>
        <w:jc w:val="both"/>
      </w:pPr>
      <w:r>
        <w:rPr>
          <w:rFonts w:ascii="Arial" w:cs="Arial" w:eastAsia="Arial" w:hAnsi="Arial"/>
          <w:color w:val="1A1A1A"/>
          <w:sz w:val="22"/>
          <w:szCs w:val="22"/>
        </w:rPr>
        <w:t xml:space="preserve">Third party claims arise when the insured vehicle causes damage or injury/death to a third party (another person, vehicle, or property). TPL coverage is mandatory under the Motor Vehicles Act, 1988. Third party death/injury claims are processed by the Motor Accident Claims Tribunal (MACT), not just the insurer.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Purpose &amp;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FIR Copy (Certified / Attested)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FIR naming the insured vehicle with registration number. Must clearly describe how the accident occurred and identify the involved parties.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Charge Sheet / Final Investigation Report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Police charge sheet filed against the driver. Even if the insured was not at fault, this document establishes the official version of events.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Third Party's Identity 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ID proof of the injured third party or the next of kin in case of fatality (Aadhaar, Voter ID, or Passport).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Medical Reports of Third Party (injury claims)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All hospital bills, discharge summaries, and treatment records of the injured third party — required for computing compensation.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Death Certificate (fatal accident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Certified copy of the death certificate of the deceased third party. Issued by the municipal authority or registrar of deaths.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Post-Mortem Report (fatal accidents)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Post-mortem report confirming cause of death. Required by the MACT and the insurer for fatal accident claims.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Legal Heir Certificate / Succession Certificate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the third party claimant is an heir of the deceased, proof of legal heirship is required — certificate from tehsildar or succession certificate from court.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Income Proof of Deceased (for compensation calculation)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Salary slips, income tax returns, or any proof of income of the deceased — used by the MACT to calculate compensation based on the Multiplier Method.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MACT Claim Petition &amp; Court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the third party has filed a claim before the Motor Accident Claims Tribunal, copies of all court filings, orders, and the final award must be submitted to the insurer for payment under legal liability cover.</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5.4  Total Loss Claims — Additional Requirements</w:t>
      </w:r>
    </w:p>
    <w:p>
      <w:pPr>
        <w:spacing w:after="80" w:before="60"/>
        <w:jc w:val="both"/>
      </w:pPr>
      <w:r>
        <w:rPr>
          <w:rFonts w:ascii="Arial" w:cs="Arial" w:eastAsia="Arial" w:hAnsi="Arial"/>
          <w:color w:val="1A1A1A"/>
          <w:sz w:val="22"/>
          <w:szCs w:val="22"/>
        </w:rPr>
        <w:t xml:space="preserve">A vehicle is declared a total loss when the repair cost exceeds 75% of the Insured Declared Value (IDV). The insurer pays the IDV (less deductibles and depreciation if applicable) and takes over the vehicle as salvage. These claims require additional documents to transfer ownership of the salvaged vehicle to the insurer.</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RC Book — to be surrendered to the insurer for transfer to salvage buyer. Must be free of hypothecation endorsements (or NOC from financier if under loan).</w:t>
      </w:r>
    </w:p>
    <w:p>
      <w:pPr>
        <w:pStyle w:val="ListParagraph"/>
        <w:numPr>
          <w:ilvl w:val="0"/>
          <w:numId w:val="2"/>
        </w:numPr>
        <w:spacing w:after="40" w:before="40"/>
      </w:pPr>
      <w:r>
        <w:rPr>
          <w:rFonts w:ascii="Arial" w:cs="Arial" w:eastAsia="Arial" w:hAnsi="Arial"/>
          <w:b w:val="false"/>
          <w:bCs w:val="false"/>
          <w:color w:val="1A1A1A"/>
          <w:sz w:val="21"/>
          <w:szCs w:val="21"/>
        </w:rPr>
        <w:t xml:space="preserve">NOC from Financier / Bank — if the vehicle is under a car loan, the bank or NBFC must issue a No Objection Certificate confirming they agree to the total loss settlement and release of hypothecation.</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Insurance Policy Document — to be surrendered upon total loss settlement.</w:t>
      </w:r>
    </w:p>
    <w:p>
      <w:pPr>
        <w:pStyle w:val="ListParagraph"/>
        <w:numPr>
          <w:ilvl w:val="0"/>
          <w:numId w:val="2"/>
        </w:numPr>
        <w:spacing w:after="40" w:before="40"/>
      </w:pPr>
      <w:r>
        <w:rPr>
          <w:rFonts w:ascii="Arial" w:cs="Arial" w:eastAsia="Arial" w:hAnsi="Arial"/>
          <w:b w:val="false"/>
          <w:bCs w:val="false"/>
          <w:color w:val="1A1A1A"/>
          <w:sz w:val="21"/>
          <w:szCs w:val="21"/>
        </w:rPr>
        <w:t xml:space="preserve">Form 28, 29, and 30 (Transfer of Ownership Forms) — signed by the registered owner to facilitate transfer of the salvage vehicle to the insurer/buyer.</w:t>
      </w:r>
    </w:p>
    <w:p>
      <w:pPr>
        <w:pStyle w:val="ListParagraph"/>
        <w:numPr>
          <w:ilvl w:val="0"/>
          <w:numId w:val="2"/>
        </w:numPr>
        <w:spacing w:after="40" w:before="40"/>
      </w:pPr>
      <w:r>
        <w:rPr>
          <w:rFonts w:ascii="Arial" w:cs="Arial" w:eastAsia="Arial" w:hAnsi="Arial"/>
          <w:b w:val="false"/>
          <w:bCs w:val="false"/>
          <w:color w:val="1A1A1A"/>
          <w:sz w:val="21"/>
          <w:szCs w:val="21"/>
        </w:rPr>
        <w:t xml:space="preserve">Court Order (if vehicle was involved in criminal case) — if the vehicle was seized by police as evidence, a court order releasing the vehicle must be obtained before total loss processing can be completed.</w:t>
      </w:r>
    </w:p>
    <w:p>
      <w:pPr>
        <w:pStyle w:val="ListParagraph"/>
        <w:numPr>
          <w:ilvl w:val="0"/>
          <w:numId w:val="2"/>
        </w:numPr>
        <w:spacing w:after="40" w:before="40"/>
      </w:pPr>
      <w:r>
        <w:rPr>
          <w:rFonts w:ascii="Arial" w:cs="Arial" w:eastAsia="Arial" w:hAnsi="Arial"/>
          <w:b w:val="false"/>
          <w:bCs w:val="false"/>
          <w:color w:val="1A1A1A"/>
          <w:sz w:val="21"/>
          <w:szCs w:val="21"/>
        </w:rPr>
        <w:t xml:space="preserve">Keys of the Vehicle — all sets of keys must be handed over to the insurer at the time of total loss settlement.</w:t>
      </w:r>
    </w:p>
    <w:p>
      <w:pPr>
        <w:pStyle w:val="ListParagraph"/>
        <w:numPr>
          <w:ilvl w:val="0"/>
          <w:numId w:val="2"/>
        </w:numPr>
        <w:spacing w:after="40" w:before="40"/>
      </w:pPr>
      <w:r>
        <w:rPr>
          <w:rFonts w:ascii="Arial" w:cs="Arial" w:eastAsia="Arial" w:hAnsi="Arial"/>
          <w:b w:val="false"/>
          <w:bCs w:val="false"/>
          <w:color w:val="1A1A1A"/>
          <w:sz w:val="21"/>
          <w:szCs w:val="21"/>
        </w:rPr>
        <w:t xml:space="preserve">Declaration of Indemnity — a signed document by the insured confirming they accept the settlement amount as full and final satisfaction of the claim.</w:t>
      </w:r>
    </w:p>
    <w:p>
      <w:pPr>
        <w:spacing w:after="60" w:before="80"/>
      </w:pPr>
      <w:r>
        <w:t xml:space="preserve"/>
      </w:r>
    </w:p>
    <w:p>
      <w:pPr>
        <w:pStyle w:val="Heading2"/>
        <w:spacing w:after="120" w:before="280"/>
      </w:pPr>
      <w:r>
        <w:rPr>
          <w:rFonts w:ascii="Arial" w:cs="Arial" w:eastAsia="Arial" w:hAnsi="Arial"/>
          <w:b/>
          <w:bCs/>
          <w:color w:val="2E75B6"/>
          <w:sz w:val="26"/>
          <w:szCs w:val="26"/>
        </w:rPr>
        <w:t xml:space="preserve">5.5  Theft Claims — Additional Requirements</w:t>
      </w:r>
    </w:p>
    <w:p>
      <w:pPr>
        <w:spacing w:after="80" w:before="60"/>
        <w:jc w:val="both"/>
      </w:pPr>
      <w:r>
        <w:rPr>
          <w:rFonts w:ascii="Arial" w:cs="Arial" w:eastAsia="Arial" w:hAnsi="Arial"/>
          <w:color w:val="1A1A1A"/>
          <w:sz w:val="22"/>
          <w:szCs w:val="22"/>
        </w:rPr>
        <w:t xml:space="preserve">Theft claims are among the most document-intensive motor claims because the insurer must be satisfied that the theft genuinely occurred and that the claimant has taken all reasonable steps to recover the vehicle before the claim is settled. Settlement is typically initiated only if the vehicle is not recovered within 90 days of the theft.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Purpose &amp;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FIR Copy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FIR for vehicle theft must be filed with the police immediately upon discovery of the theft. FIR must mention the vehicle's full details (make, model, registration number, colour, chassis number, engine number).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Police Non-Traceable Certificate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Issued by the police after 90 days of investigation confirming that the vehicle has not been traced. This is the trigger document for theft claim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Final Police Report / Closure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Official closure of the police investigation into the theft case. Required before claim finalization.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RTO — Intimation of Theft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Mandatory intimation to the Regional Transport Office (RTO) regarding the theft of the vehicle. Some RTOs issue an acknowledgement letter.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All Sets of Keys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All duplicate keys and spare keys of the stolen vehicle must be surrendered to the insurer. Missing keys suggest negligence and can reduce or invalidate the claim.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Vehicle Purchase Invoice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 purchase invoice from the dealer showing purchase price, vehicle details, and chassis/engine number. Used to verify IDV and ownership.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Loan Closure / NOC from Bank (if applicable)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If vehicle was under finance, bank's NOC confirming outstanding dues (to be deducted from settlement or paid by insured before settlement).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Subrogation Letter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Signed by the insured authorizing the insurer to recover the vehicle or its value from any third party responsible for the theft.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Indemnity Bond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Undertaking that if the vehicle is recovered after settlement, the insured will return the claim amount or surrender the vehicle to the insurer.</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6.  Timelines &amp; Deadlines — Critical Rules</w:t>
      </w:r>
    </w:p>
    <w:p>
      <w:pPr>
        <w:spacing w:after="80" w:before="60"/>
        <w:jc w:val="both"/>
      </w:pPr>
      <w:r>
        <w:rPr>
          <w:rFonts w:ascii="Arial" w:cs="Arial" w:eastAsia="Arial" w:hAnsi="Arial"/>
          <w:color w:val="1A1A1A"/>
          <w:sz w:val="22"/>
          <w:szCs w:val="22"/>
        </w:rPr>
        <w:t xml:space="preserve">Missing a deadline is one of the most common and avoidable reasons for claim rejection or reduction. The following timelines are standard across the industry, though your specific policy may have more stringent or lenient timelines. Always refer to your policy wording for exact timelines.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80"/>
        <w:gridCol w:w="3380"/>
      </w:tblGrid>
      <w:tr>
        <w:tc>
          <w:tcPr>
            <w:tcW w:type="dxa" w:w="3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Event / Action</w:t>
            </w:r>
          </w:p>
        </w:tc>
        <w:tc>
          <w:tcPr>
            <w:tcW w:type="dxa" w:w="25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Standard Deadline</w:t>
            </w:r>
          </w:p>
        </w:tc>
        <w:tc>
          <w:tcPr>
            <w:tcW w:type="dxa" w:w="338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Consequence of Missing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Cashless Pre-Authorization (Planned)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48–72 hrs before admission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Cashless denied; must file reimbursement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Cashless Pre-Authorization (Emergency)</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24 hrs of admission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Cashless may be denied; escalate immediately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Reimbursement Claim Submission (Health)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30 days of discharge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 may be rejected; grounds for late filing must be shown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Reimbursement — Post-Hospitalization Docs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60 days of discharge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Post-hospitalization expenses may not be reimbursed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Critical Illness Claim Intimation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Immediately upon diagnosis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Delay is a ground for repudiation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Motor Accident Intimation to Insurer</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24–48 hrs of accident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 may be rejected for non-intimation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FIR Filing (Accident/Theft)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Immediately; within 24 hrs latest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Delay weakens claim and may trigger investigation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Theft Claim — Non-Traceable Certificate</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After 90 days of FIR filing</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 cannot be processed before this period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Motor Claim Submission (all documents)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7–15 days of accident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Surveyor may not accept late damage claims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Total Loss — Document Submission</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30 days of surveyor's report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 processing delayed; IDV subject to revision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Appeal Against Rejection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30 days of rejection letter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Right to appeal lapses; must go to Ombudsman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Insurance Ombudsman Complaint</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Within 1 year of rejection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Complaint not maintainable after limitation period</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HOW TO PROTECT YOURSELF AGAINST DEADLINE VIOLATIONS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1. Keep a dedicated insurance claims diary or folder with all dates noted.</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2. Send all claim documents via registered post (AD) or courier with tracking — this establishes the date of submission legally.</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3. Take email or SMS acknowledgements for every document set submitted.</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4. If the insurer is causing delay in appointing a surveyor or issuing pre-authorization, follow up in writing and keep records.</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5. The IRDAI mandates that insurers acknowledge claims within 15 days and make payment decisions within 30 days of receiving all documents.</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7.  Document Authentication &amp; Submission Rules</w:t>
      </w:r>
    </w:p>
    <w:p>
      <w:pPr>
        <w:spacing w:after="80" w:before="60"/>
        <w:jc w:val="both"/>
      </w:pPr>
      <w:r>
        <w:rPr>
          <w:rFonts w:ascii="Arial" w:cs="Arial" w:eastAsia="Arial" w:hAnsi="Arial"/>
          <w:color w:val="1A1A1A"/>
          <w:sz w:val="22"/>
          <w:szCs w:val="22"/>
        </w:rPr>
        <w:t xml:space="preserve">The manner in which documents are prepared, attested, and submitted is as important as the documents themselves. Improper authentication is a leading cause of document rejection.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  Attestation Standards</w:t>
      </w:r>
    </w:p>
    <w:p>
      <w:pPr>
        <w:pStyle w:val="ListParagraph"/>
        <w:numPr>
          <w:ilvl w:val="0"/>
          <w:numId w:val="2"/>
        </w:numPr>
        <w:spacing w:after="40" w:before="40"/>
      </w:pPr>
      <w:r>
        <w:rPr>
          <w:rFonts w:ascii="Arial" w:cs="Arial" w:eastAsia="Arial" w:hAnsi="Arial"/>
          <w:b w:val="false"/>
          <w:bCs w:val="false"/>
          <w:color w:val="1A1A1A"/>
          <w:sz w:val="21"/>
          <w:szCs w:val="21"/>
        </w:rPr>
        <w:t xml:space="preserve">Self-Attestation: Sign on each photocopy with the words 'Self Attested' or 'True Copy', your full name, and the date. Use blue or black ink only.</w:t>
      </w:r>
    </w:p>
    <w:p>
      <w:pPr>
        <w:pStyle w:val="ListParagraph"/>
        <w:numPr>
          <w:ilvl w:val="0"/>
          <w:numId w:val="2"/>
        </w:numPr>
        <w:spacing w:after="40" w:before="40"/>
      </w:pPr>
      <w:r>
        <w:rPr>
          <w:rFonts w:ascii="Arial" w:cs="Arial" w:eastAsia="Arial" w:hAnsi="Arial"/>
          <w:b w:val="false"/>
          <w:bCs w:val="false"/>
          <w:color w:val="1A1A1A"/>
          <w:sz w:val="21"/>
          <w:szCs w:val="21"/>
        </w:rPr>
        <w:t xml:space="preserve">Gazetted Officer Attestation: Some insurers require attestation by a Gazetted Officer for certain documents. This means a Class I government officer must sign and stamp the copy.</w:t>
      </w:r>
    </w:p>
    <w:p>
      <w:pPr>
        <w:pStyle w:val="ListParagraph"/>
        <w:numPr>
          <w:ilvl w:val="0"/>
          <w:numId w:val="2"/>
        </w:numPr>
        <w:spacing w:after="40" w:before="40"/>
      </w:pPr>
      <w:r>
        <w:rPr>
          <w:rFonts w:ascii="Arial" w:cs="Arial" w:eastAsia="Arial" w:hAnsi="Arial"/>
          <w:b w:val="false"/>
          <w:bCs w:val="false"/>
          <w:color w:val="1A1A1A"/>
          <w:sz w:val="21"/>
          <w:szCs w:val="21"/>
        </w:rPr>
        <w:t xml:space="preserve">Notarization: For affidavits, declarations, indemnity bonds, and legal heir certificates, notarization by a registered Notary Public is mandatory.</w:t>
      </w:r>
    </w:p>
    <w:p>
      <w:pPr>
        <w:pStyle w:val="ListParagraph"/>
        <w:numPr>
          <w:ilvl w:val="0"/>
          <w:numId w:val="2"/>
        </w:numPr>
        <w:spacing w:after="40" w:before="40"/>
      </w:pPr>
      <w:r>
        <w:rPr>
          <w:rFonts w:ascii="Arial" w:cs="Arial" w:eastAsia="Arial" w:hAnsi="Arial"/>
          <w:b w:val="false"/>
          <w:bCs w:val="false"/>
          <w:color w:val="1A1A1A"/>
          <w:sz w:val="21"/>
          <w:szCs w:val="21"/>
        </w:rPr>
        <w:t xml:space="preserve">Hospital Seal &amp; Signature: Hospital documents (discharge summaries, certificates, bills) must carry the hospital's official rubber stamp and the authorized signatory's signature — usually the Medical Superintendent, Chief Medical Officer, or Billing Manager.</w:t>
      </w:r>
    </w:p>
    <w:p>
      <w:pPr>
        <w:pStyle w:val="ListParagraph"/>
        <w:numPr>
          <w:ilvl w:val="0"/>
          <w:numId w:val="2"/>
        </w:numPr>
        <w:spacing w:after="40" w:before="40"/>
      </w:pPr>
      <w:r>
        <w:rPr>
          <w:rFonts w:ascii="Arial" w:cs="Arial" w:eastAsia="Arial" w:hAnsi="Arial"/>
          <w:b w:val="false"/>
          <w:bCs w:val="false"/>
          <w:color w:val="1A1A1A"/>
          <w:sz w:val="21"/>
          <w:szCs w:val="21"/>
        </w:rPr>
        <w:t xml:space="preserve">Doctor's Registration Number: Every document signed by a doctor must include their Medical Council Registration Number to be valid.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7.2  Physical vs. Digital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Physical Submission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Digital Submission (App/Portal)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Send via registered post or courier with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Scan documents at min. 200 DPI in PDF/JPG format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Keep acknowledgement receipt from courier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File size per document: max 2–5 MB (check portal limits)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Keep attested photocopies of everything 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Take screenshot of successful upload confirmation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Use a checklist to confirm all items are enclosed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Retain email confirmation of digital submission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Follow up within 7 days if no acknowledgement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Verify portal shows 'Documents Received' status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Do not send originals by post for OPD claims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Call helpline to confirm if documents are unclear/incomplete</w:t>
            </w:r>
          </w:p>
        </w:tc>
      </w:tr>
    </w:tbl>
    <w:p>
      <w:pPr>
        <w:spacing w:after="60" w:before="80"/>
      </w:pPr>
      <w:r>
        <w:t xml:space="preserve"/>
      </w:r>
    </w:p>
    <w:p>
      <w:pPr>
        <w:pStyle w:val="Heading2"/>
        <w:spacing w:after="120" w:before="280"/>
      </w:pPr>
      <w:r>
        <w:rPr>
          <w:rFonts w:ascii="Arial" w:cs="Arial" w:eastAsia="Arial" w:hAnsi="Arial"/>
          <w:b/>
          <w:bCs/>
          <w:color w:val="2E75B6"/>
          <w:sz w:val="26"/>
          <w:szCs w:val="26"/>
        </w:rPr>
        <w:t xml:space="preserve">7.3  Language &amp; Translation Requirements</w:t>
      </w:r>
    </w:p>
    <w:p>
      <w:pPr>
        <w:spacing w:after="80" w:before="60"/>
        <w:jc w:val="both"/>
      </w:pPr>
      <w:r>
        <w:rPr>
          <w:rFonts w:ascii="Arial" w:cs="Arial" w:eastAsia="Arial" w:hAnsi="Arial"/>
          <w:color w:val="1A1A1A"/>
          <w:sz w:val="22"/>
          <w:szCs w:val="22"/>
        </w:rPr>
        <w:t xml:space="preserve">All documents must be in English or the official language of the state where the policy is issued. For documents in regional languages, a certified English translation must be appended. Translations must be done by a certified translator or sworn interpreter. For MACT proceedings, court-certified translations are acceptable.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7.4  Original vs. Copy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Document Type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1"/>
                <w:szCs w:val="21"/>
              </w:rPr>
              <w:t xml:space="preserve">Original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Hospital Bills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Yes — originals required; hospital keeps copy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Discharge Summary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Yes — or attested hospital copy if originals retained by hospital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Prescription / Investigation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Originals preferred; attested copies accepted if originals with hospital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FIR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Certified copy from police station (bearing court seal)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RC Book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 for total loss; attested copy for all other claims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Driving Licence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Attested photocopy; original to be produced for verification if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Bank Cheque for NEFT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 cancelled cheque (or bank-certified copy of front page of passbook)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Policy Document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Attested self-copy; original only required for total loss/theft surrender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Death Certificate (fatality claims)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Certified copy from municipality — not just a photocopy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Implant Stickers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30" w:before="30"/>
            </w:pPr>
            <w:r>
              <w:rPr>
                <w:rFonts w:ascii="Arial" w:cs="Arial" w:eastAsia="Arial" w:hAnsi="Arial"/>
                <w:color w:val="1A1A1A"/>
                <w:sz w:val="20"/>
                <w:szCs w:val="20"/>
              </w:rPr>
              <w:t xml:space="preserve">Original sticker from packaging must be affixed to the claim form</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8.  Common Rejection Reasons &amp; How to Avoid Them</w:t>
      </w:r>
    </w:p>
    <w:p>
      <w:pPr>
        <w:spacing w:after="80" w:before="60"/>
        <w:jc w:val="both"/>
      </w:pPr>
      <w:r>
        <w:rPr>
          <w:rFonts w:ascii="Arial" w:cs="Arial" w:eastAsia="Arial" w:hAnsi="Arial"/>
          <w:color w:val="1A1A1A"/>
          <w:sz w:val="22"/>
          <w:szCs w:val="22"/>
        </w:rPr>
        <w:t xml:space="preserve">Understanding why claims are rejected is crucial to avoiding these pitfalls. The following are the most frequently cited grounds for claim rejection or partial settlement, along with practical remedies.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60"/>
        <w:gridCol w:w="3000"/>
      </w:tblGrid>
      <w:tr>
        <w:tc>
          <w:tcPr>
            <w:tcW w:type="dxa" w:w="33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Rejection Reason</w:t>
            </w:r>
          </w:p>
        </w:tc>
        <w:tc>
          <w:tcPr>
            <w:tcW w:type="dxa" w:w="30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Why It Happens</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How to Prevent It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Policy Not in Force at Time of Event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Premium not paid; grace period lapsed; policy cancelled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Set auto-debit for renewals; confirm renewal receipt before lapse date</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Non-Disclosure / Misrepresentation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Pre-existing conditions not declared at policy inception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Disclose ALL medical history honestly at proposal stage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Treatment Not Covered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Cosmetic surgery, infertility (if excluded), lifestyle drugs claimed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Read policy exclusions carefully; confirm coverage before treatment</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Waiting Period Not Satisfied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Claiming for pre-existing illness within 2–4 year waiting period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Track waiting period; do not file claims for excluded periods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Delayed Intimation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Insurer not informed within required timeframe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Intimate insurer immediately; confirm receipt of intimation</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Incomplete Documentation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Missing bills, no discharge summary, unsigned claim form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Use this checklist; submit complete dossier at one time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DL Invalid / Not Appropriate Class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Expired DL, learner's licence, or DL not valid for vehicle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Ensure driver has valid DL before every journey</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Vehicle Not Insured (lapsed policy)</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Policy expired; driving without valid insurance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Renew before expiry; keep renewal receipt in vehicle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Negligent / Drunk Driving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Driver under influence of alcohol or drugs at time of accident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No remedy — this is a policy exclusion; never drive impaired</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Wear and Tear Claimed as Accident Damage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Normal mechanical breakdown claimed as accident damage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Only claim genuine accidental damage; maintain vehicle service records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Inflated Invoices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Workshop bills are higher than surveyor's assessed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Use insurer-empanelled workshops; avoid inflated estimates</w:t>
            </w:r>
          </w:p>
        </w:tc>
      </w:tr>
      <w:tr>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Fraud / Suppression of Material Facts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False FIR, staged accident, or false medical certificates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No remedy — constitutes insurance fraud; legal action may follow</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YOUR RIGHTS WHEN A CLAIM IS REJECTED</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1. DEMAND A WRITTEN REJECTION LETTER: The insurer is legally obligated to provide a written reason for rejection citing the specific policy clause under which the claim was denied.</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2. INTERNAL ESCALATION: File a written complaint with the insurer's Grievance Redressal Officer (GRO). The insurer must respond within 15 days.</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3. IRDAI BIMA BHAROSA PORTAL: If unresolved within 30 days, file a complaint on the IRDAI's integrated grievance portal (Bima Bharosa) at igms.irda.gov.in.</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4. INSURANCE OMBUDSMAN: File a complaint before the Insurance Ombudsman of your region (free of charge) within 1 year of the insurer's final decision.</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5. CONSUMER FORUM: File a consumer complaint under the Consumer Protection Act, 2019 before the District Consumer Forum.</w:t>
            </w:r>
          </w:p>
        </w:tc>
      </w:tr>
      <w:tr>
        <w:tc>
          <w:tcPr>
            <w:tcW w:type="dxa" w:w="9360"/>
            <w:tcBorders>
              <w:top w:val="single" w:color="2E75B6" w:sz="1"/>
              <w:left w:val="single" w:color="2E75B6" w:sz="1"/>
              <w:bottom w:val="single" w:color="2E75B6" w:sz="1"/>
              <w:right w:val="single" w:color="2E75B6" w:sz="1"/>
            </w:tcBorders>
            <w:shd w:fill="D6EFE0" w:val="clear"/>
            <w:tcMar>
              <w:top w:type="dxa" w:w="80"/>
              <w:left w:type="dxa" w:w="160"/>
              <w:bottom w:type="dxa" w:w="80"/>
              <w:right w:type="dxa" w:w="160"/>
            </w:tcMar>
          </w:tcPr>
          <w:p>
            <w:pPr>
              <w:spacing w:after="40" w:before="40"/>
            </w:pPr>
            <w:r>
              <w:rPr>
                <w:rFonts w:ascii="Arial" w:cs="Arial" w:eastAsia="Arial" w:hAnsi="Arial"/>
                <w:color w:val="1A1A1A"/>
                <w:sz w:val="21"/>
                <w:szCs w:val="21"/>
              </w:rPr>
              <w:t xml:space="preserve">6. CIVIL COURT: As a last resort, file a civil suit for the claim amount. Engage an insurance lawyer.</w:t>
            </w:r>
          </w:p>
        </w:tc>
      </w:tr>
    </w:tbl>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9.  Special Circumstances &amp; Exceptions</w:t>
      </w:r>
    </w:p>
    <w:p>
      <w:pPr>
        <w:spacing w:after="80" w:before="60"/>
        <w:jc w:val="both"/>
      </w:pPr>
      <w:r>
        <w:rPr>
          <w:rFonts w:ascii="Arial" w:cs="Arial" w:eastAsia="Arial" w:hAnsi="Arial"/>
          <w:color w:val="1A1A1A"/>
          <w:sz w:val="22"/>
          <w:szCs w:val="22"/>
        </w:rPr>
        <w:t xml:space="preserve">Certain claim scenarios involve additional complexity and require special documentation over and above the standard checklists. These are addressed below.</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9.1  Claims Involving Minors</w:t>
      </w:r>
    </w:p>
    <w:p>
      <w:pPr>
        <w:pStyle w:val="ListParagraph"/>
        <w:numPr>
          <w:ilvl w:val="0"/>
          <w:numId w:val="2"/>
        </w:numPr>
        <w:spacing w:after="40" w:before="40"/>
      </w:pPr>
      <w:r>
        <w:rPr>
          <w:rFonts w:ascii="Arial" w:cs="Arial" w:eastAsia="Arial" w:hAnsi="Arial"/>
          <w:b w:val="false"/>
          <w:bCs w:val="false"/>
          <w:color w:val="1A1A1A"/>
          <w:sz w:val="21"/>
          <w:szCs w:val="21"/>
        </w:rPr>
        <w:t xml:space="preserve">Birth certificate of the minor patient to confirm age and relationship to primary insured.</w:t>
      </w:r>
    </w:p>
    <w:p>
      <w:pPr>
        <w:pStyle w:val="ListParagraph"/>
        <w:numPr>
          <w:ilvl w:val="0"/>
          <w:numId w:val="2"/>
        </w:numPr>
        <w:spacing w:after="40" w:before="40"/>
      </w:pPr>
      <w:r>
        <w:rPr>
          <w:rFonts w:ascii="Arial" w:cs="Arial" w:eastAsia="Arial" w:hAnsi="Arial"/>
          <w:b w:val="false"/>
          <w:bCs w:val="false"/>
          <w:color w:val="1A1A1A"/>
          <w:sz w:val="21"/>
          <w:szCs w:val="21"/>
        </w:rPr>
        <w:t xml:space="preserve">Claim form signed by both parents or the legal guardian (not the minor).</w:t>
      </w:r>
    </w:p>
    <w:p>
      <w:pPr>
        <w:pStyle w:val="ListParagraph"/>
        <w:numPr>
          <w:ilvl w:val="0"/>
          <w:numId w:val="2"/>
        </w:numPr>
        <w:spacing w:after="40" w:before="40"/>
      </w:pPr>
      <w:r>
        <w:rPr>
          <w:rFonts w:ascii="Arial" w:cs="Arial" w:eastAsia="Arial" w:hAnsi="Arial"/>
          <w:b w:val="false"/>
          <w:bCs w:val="false"/>
          <w:color w:val="1A1A1A"/>
          <w:sz w:val="21"/>
          <w:szCs w:val="21"/>
        </w:rPr>
        <w:t xml:space="preserve">Guardian's identity proof and proof of guardianship (if not a parent).</w:t>
      </w:r>
    </w:p>
    <w:p>
      <w:pPr>
        <w:pStyle w:val="ListParagraph"/>
        <w:numPr>
          <w:ilvl w:val="0"/>
          <w:numId w:val="2"/>
        </w:numPr>
        <w:spacing w:after="40" w:before="40"/>
      </w:pPr>
      <w:r>
        <w:rPr>
          <w:rFonts w:ascii="Arial" w:cs="Arial" w:eastAsia="Arial" w:hAnsi="Arial"/>
          <w:b w:val="false"/>
          <w:bCs w:val="false"/>
          <w:color w:val="1A1A1A"/>
          <w:sz w:val="21"/>
          <w:szCs w:val="21"/>
        </w:rPr>
        <w:t xml:space="preserve">For settlement, minor's bank account cannot directly receive funds — payment is made to parent/guardian's account with a declaration.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9.2  NRI Policyholder Claims</w:t>
      </w:r>
    </w:p>
    <w:p>
      <w:pPr>
        <w:pStyle w:val="ListParagraph"/>
        <w:numPr>
          <w:ilvl w:val="0"/>
          <w:numId w:val="2"/>
        </w:numPr>
        <w:spacing w:after="40" w:before="40"/>
      </w:pPr>
      <w:r>
        <w:rPr>
          <w:rFonts w:ascii="Arial" w:cs="Arial" w:eastAsia="Arial" w:hAnsi="Arial"/>
          <w:b w:val="false"/>
          <w:bCs w:val="false"/>
          <w:color w:val="1A1A1A"/>
          <w:sz w:val="21"/>
          <w:szCs w:val="21"/>
        </w:rPr>
        <w:t xml:space="preserve">Passport copy (valid) showing residential status and travel history.</w:t>
      </w:r>
    </w:p>
    <w:p>
      <w:pPr>
        <w:pStyle w:val="ListParagraph"/>
        <w:numPr>
          <w:ilvl w:val="0"/>
          <w:numId w:val="2"/>
        </w:numPr>
        <w:spacing w:after="40" w:before="40"/>
      </w:pPr>
      <w:r>
        <w:rPr>
          <w:rFonts w:ascii="Arial" w:cs="Arial" w:eastAsia="Arial" w:hAnsi="Arial"/>
          <w:b w:val="false"/>
          <w:bCs w:val="false"/>
          <w:color w:val="1A1A1A"/>
          <w:sz w:val="21"/>
          <w:szCs w:val="21"/>
        </w:rPr>
        <w:t xml:space="preserve">Copy of Overseas Citizen of India (OCI) card or Person of Indian Origin (PIO) card.</w:t>
      </w:r>
    </w:p>
    <w:p>
      <w:pPr>
        <w:pStyle w:val="ListParagraph"/>
        <w:numPr>
          <w:ilvl w:val="0"/>
          <w:numId w:val="2"/>
        </w:numPr>
        <w:spacing w:after="40" w:before="40"/>
      </w:pPr>
      <w:r>
        <w:rPr>
          <w:rFonts w:ascii="Arial" w:cs="Arial" w:eastAsia="Arial" w:hAnsi="Arial"/>
          <w:b w:val="false"/>
          <w:bCs w:val="false"/>
          <w:color w:val="1A1A1A"/>
          <w:sz w:val="21"/>
          <w:szCs w:val="21"/>
        </w:rPr>
        <w:t xml:space="preserve">FEMA declaration confirming the remittance of claim proceeds to a foreign account is permitted (for overseas settlements).</w:t>
      </w:r>
    </w:p>
    <w:p>
      <w:pPr>
        <w:pStyle w:val="ListParagraph"/>
        <w:numPr>
          <w:ilvl w:val="0"/>
          <w:numId w:val="2"/>
        </w:numPr>
        <w:spacing w:after="40" w:before="40"/>
      </w:pPr>
      <w:r>
        <w:rPr>
          <w:rFonts w:ascii="Arial" w:cs="Arial" w:eastAsia="Arial" w:hAnsi="Arial"/>
          <w:b w:val="false"/>
          <w:bCs w:val="false"/>
          <w:color w:val="1A1A1A"/>
          <w:sz w:val="21"/>
          <w:szCs w:val="21"/>
        </w:rPr>
        <w:t xml:space="preserve">Power of Attorney in favour of an Indian resident if the NRI is unable to personally manage the claim — the POA must be notarized and apostilled.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9.3  Claims for Deceased Policyholders</w:t>
      </w:r>
    </w:p>
    <w:p>
      <w:pPr>
        <w:pStyle w:val="ListParagraph"/>
        <w:numPr>
          <w:ilvl w:val="0"/>
          <w:numId w:val="2"/>
        </w:numPr>
        <w:spacing w:after="40" w:before="40"/>
      </w:pPr>
      <w:r>
        <w:rPr>
          <w:rFonts w:ascii="Arial" w:cs="Arial" w:eastAsia="Arial" w:hAnsi="Arial"/>
          <w:b w:val="false"/>
          <w:bCs w:val="false"/>
          <w:color w:val="1A1A1A"/>
          <w:sz w:val="21"/>
          <w:szCs w:val="21"/>
        </w:rPr>
        <w:t xml:space="preserve">Original death certificate (certified copy from municipality or registrar of deaths).</w:t>
      </w:r>
    </w:p>
    <w:p>
      <w:pPr>
        <w:pStyle w:val="ListParagraph"/>
        <w:numPr>
          <w:ilvl w:val="0"/>
          <w:numId w:val="2"/>
        </w:numPr>
        <w:spacing w:after="40" w:before="40"/>
      </w:pPr>
      <w:r>
        <w:rPr>
          <w:rFonts w:ascii="Arial" w:cs="Arial" w:eastAsia="Arial" w:hAnsi="Arial"/>
          <w:b w:val="false"/>
          <w:bCs w:val="false"/>
          <w:color w:val="1A1A1A"/>
          <w:sz w:val="21"/>
          <w:szCs w:val="21"/>
        </w:rPr>
        <w:t xml:space="preserve">Post-mortem report if the death was accidental, sudden, or occurred outside a hospital.</w:t>
      </w:r>
    </w:p>
    <w:p>
      <w:pPr>
        <w:pStyle w:val="ListParagraph"/>
        <w:numPr>
          <w:ilvl w:val="0"/>
          <w:numId w:val="2"/>
        </w:numPr>
        <w:spacing w:after="40" w:before="40"/>
      </w:pPr>
      <w:r>
        <w:rPr>
          <w:rFonts w:ascii="Arial" w:cs="Arial" w:eastAsia="Arial" w:hAnsi="Arial"/>
          <w:b w:val="false"/>
          <w:bCs w:val="false"/>
          <w:color w:val="1A1A1A"/>
          <w:sz w:val="21"/>
          <w:szCs w:val="21"/>
        </w:rPr>
        <w:t xml:space="preserve">Legal heir certificate from the Tehsildar or a succession certificate from the civil court.</w:t>
      </w:r>
    </w:p>
    <w:p>
      <w:pPr>
        <w:pStyle w:val="ListParagraph"/>
        <w:numPr>
          <w:ilvl w:val="0"/>
          <w:numId w:val="2"/>
        </w:numPr>
        <w:spacing w:after="40" w:before="40"/>
      </w:pPr>
      <w:r>
        <w:rPr>
          <w:rFonts w:ascii="Arial" w:cs="Arial" w:eastAsia="Arial" w:hAnsi="Arial"/>
          <w:b w:val="false"/>
          <w:bCs w:val="false"/>
          <w:color w:val="1A1A1A"/>
          <w:sz w:val="21"/>
          <w:szCs w:val="21"/>
        </w:rPr>
        <w:t xml:space="preserve">Indemnity bond signed by all legal heirs confirming no other party will make a claim.</w:t>
      </w:r>
    </w:p>
    <w:p>
      <w:pPr>
        <w:pStyle w:val="ListParagraph"/>
        <w:numPr>
          <w:ilvl w:val="0"/>
          <w:numId w:val="2"/>
        </w:numPr>
        <w:spacing w:after="40" w:before="40"/>
      </w:pPr>
      <w:r>
        <w:rPr>
          <w:rFonts w:ascii="Arial" w:cs="Arial" w:eastAsia="Arial" w:hAnsi="Arial"/>
          <w:b w:val="false"/>
          <w:bCs w:val="false"/>
          <w:color w:val="1A1A1A"/>
          <w:sz w:val="21"/>
          <w:szCs w:val="21"/>
        </w:rPr>
        <w:t xml:space="preserve">Will copy (if applicable) or intestate succession documentation if no will exists.</w:t>
      </w:r>
    </w:p>
    <w:p>
      <w:pPr>
        <w:pStyle w:val="ListParagraph"/>
        <w:numPr>
          <w:ilvl w:val="0"/>
          <w:numId w:val="2"/>
        </w:numPr>
        <w:spacing w:after="40" w:before="40"/>
      </w:pPr>
      <w:r>
        <w:rPr>
          <w:rFonts w:ascii="Arial" w:cs="Arial" w:eastAsia="Arial" w:hAnsi="Arial"/>
          <w:b w:val="false"/>
          <w:bCs w:val="false"/>
          <w:color w:val="1A1A1A"/>
          <w:sz w:val="21"/>
          <w:szCs w:val="21"/>
        </w:rPr>
        <w:t xml:space="preserve">For life or CI claims, the nominee's identity proof and relationship proof are required.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9.4  Commercial Vehicle Claims (Fleet / Taxi / Truck)</w:t>
      </w:r>
    </w:p>
    <w:p>
      <w:pPr>
        <w:pStyle w:val="ListParagraph"/>
        <w:numPr>
          <w:ilvl w:val="0"/>
          <w:numId w:val="2"/>
        </w:numPr>
        <w:spacing w:after="40" w:before="40"/>
      </w:pPr>
      <w:r>
        <w:rPr>
          <w:rFonts w:ascii="Arial" w:cs="Arial" w:eastAsia="Arial" w:hAnsi="Arial"/>
          <w:b w:val="false"/>
          <w:bCs w:val="false"/>
          <w:color w:val="1A1A1A"/>
          <w:sz w:val="21"/>
          <w:szCs w:val="21"/>
        </w:rPr>
        <w:t xml:space="preserve">Route permit issued by the State Transport Authority for the route on which the accident occurred — commercial vehicles operating without a valid permit are not covered.</w:t>
      </w:r>
    </w:p>
    <w:p>
      <w:pPr>
        <w:pStyle w:val="ListParagraph"/>
        <w:numPr>
          <w:ilvl w:val="0"/>
          <w:numId w:val="2"/>
        </w:numPr>
        <w:spacing w:after="40" w:before="40"/>
      </w:pPr>
      <w:r>
        <w:rPr>
          <w:rFonts w:ascii="Arial" w:cs="Arial" w:eastAsia="Arial" w:hAnsi="Arial"/>
          <w:b w:val="false"/>
          <w:bCs w:val="false"/>
          <w:color w:val="1A1A1A"/>
          <w:sz w:val="21"/>
          <w:szCs w:val="21"/>
        </w:rPr>
        <w:t xml:space="preserve">Driver's commercial vehicle driving licence (Transport category licence) — private car DL is not valid for commercial vehicles.</w:t>
      </w:r>
    </w:p>
    <w:p>
      <w:pPr>
        <w:pStyle w:val="ListParagraph"/>
        <w:numPr>
          <w:ilvl w:val="0"/>
          <w:numId w:val="2"/>
        </w:numPr>
        <w:spacing w:after="40" w:before="40"/>
      </w:pPr>
      <w:r>
        <w:rPr>
          <w:rFonts w:ascii="Arial" w:cs="Arial" w:eastAsia="Arial" w:hAnsi="Arial"/>
          <w:b w:val="false"/>
          <w:bCs w:val="false"/>
          <w:color w:val="1A1A1A"/>
          <w:sz w:val="21"/>
          <w:szCs w:val="21"/>
        </w:rPr>
        <w:t xml:space="preserve">Goods carriage permit and consignment note (waybill) if the vehicle was carrying goods at the time of the accident.</w:t>
      </w:r>
    </w:p>
    <w:p>
      <w:pPr>
        <w:pStyle w:val="ListParagraph"/>
        <w:numPr>
          <w:ilvl w:val="0"/>
          <w:numId w:val="2"/>
        </w:numPr>
        <w:spacing w:after="40" w:before="40"/>
      </w:pPr>
      <w:r>
        <w:rPr>
          <w:rFonts w:ascii="Arial" w:cs="Arial" w:eastAsia="Arial" w:hAnsi="Arial"/>
          <w:b w:val="false"/>
          <w:bCs w:val="false"/>
          <w:color w:val="1A1A1A"/>
          <w:sz w:val="21"/>
          <w:szCs w:val="21"/>
        </w:rPr>
        <w:t xml:space="preserve">Fitness certificate of the commercial vehicle issued by the RTO — must be valid at the time of accident.</w:t>
      </w:r>
    </w:p>
    <w:p>
      <w:pPr>
        <w:pStyle w:val="ListParagraph"/>
        <w:numPr>
          <w:ilvl w:val="0"/>
          <w:numId w:val="2"/>
        </w:numPr>
        <w:spacing w:after="40" w:before="40"/>
      </w:pPr>
      <w:r>
        <w:rPr>
          <w:rFonts w:ascii="Arial" w:cs="Arial" w:eastAsia="Arial" w:hAnsi="Arial"/>
          <w:b w:val="false"/>
          <w:bCs w:val="false"/>
          <w:color w:val="1A1A1A"/>
          <w:sz w:val="21"/>
          <w:szCs w:val="21"/>
        </w:rPr>
        <w:t xml:space="preserve">Speed governor certificate confirming the vehicle was fitted with the mandatory speed limiting device.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9.5  Claims Under Group / Corporate Insurance Policies</w:t>
      </w:r>
    </w:p>
    <w:p>
      <w:pPr>
        <w:pStyle w:val="ListParagraph"/>
        <w:numPr>
          <w:ilvl w:val="0"/>
          <w:numId w:val="2"/>
        </w:numPr>
        <w:spacing w:after="40" w:before="40"/>
      </w:pPr>
      <w:r>
        <w:rPr>
          <w:rFonts w:ascii="Arial" w:cs="Arial" w:eastAsia="Arial" w:hAnsi="Arial"/>
          <w:b w:val="false"/>
          <w:bCs w:val="false"/>
          <w:color w:val="1A1A1A"/>
          <w:sz w:val="21"/>
          <w:szCs w:val="21"/>
        </w:rPr>
        <w:t xml:space="preserve">Employee ID card or HR letter confirming the claimant was an active employee on the date of treatment.</w:t>
      </w:r>
    </w:p>
    <w:p>
      <w:pPr>
        <w:pStyle w:val="ListParagraph"/>
        <w:numPr>
          <w:ilvl w:val="0"/>
          <w:numId w:val="2"/>
        </w:numPr>
        <w:spacing w:after="40" w:before="40"/>
      </w:pPr>
      <w:r>
        <w:rPr>
          <w:rFonts w:ascii="Arial" w:cs="Arial" w:eastAsia="Arial" w:hAnsi="Arial"/>
          <w:b w:val="false"/>
          <w:bCs w:val="false"/>
          <w:color w:val="1A1A1A"/>
          <w:sz w:val="21"/>
          <w:szCs w:val="21"/>
        </w:rPr>
        <w:t xml:space="preserve">HR department endorsement on the claim form confirming that the treatment is being claimed under the corporate group policy.</w:t>
      </w:r>
    </w:p>
    <w:p>
      <w:pPr>
        <w:pStyle w:val="ListParagraph"/>
        <w:numPr>
          <w:ilvl w:val="0"/>
          <w:numId w:val="2"/>
        </w:numPr>
        <w:spacing w:after="40" w:before="40"/>
      </w:pPr>
      <w:r>
        <w:rPr>
          <w:rFonts w:ascii="Arial" w:cs="Arial" w:eastAsia="Arial" w:hAnsi="Arial"/>
          <w:b w:val="false"/>
          <w:bCs w:val="false"/>
          <w:color w:val="1A1A1A"/>
          <w:sz w:val="21"/>
          <w:szCs w:val="21"/>
        </w:rPr>
        <w:t xml:space="preserve">Group policy certificate of insurance showing the employee's name, sum insured, and dependants covered.</w:t>
      </w:r>
    </w:p>
    <w:p>
      <w:pPr>
        <w:pStyle w:val="ListParagraph"/>
        <w:numPr>
          <w:ilvl w:val="0"/>
          <w:numId w:val="2"/>
        </w:numPr>
        <w:spacing w:after="40" w:before="40"/>
      </w:pPr>
      <w:r>
        <w:rPr>
          <w:rFonts w:ascii="Arial" w:cs="Arial" w:eastAsia="Arial" w:hAnsi="Arial"/>
          <w:b w:val="false"/>
          <w:bCs w:val="false"/>
          <w:color w:val="1A1A1A"/>
          <w:sz w:val="21"/>
          <w:szCs w:val="21"/>
        </w:rPr>
        <w:t xml:space="preserve">Intimation to be given to both the employer's HR/insurance coordinator and directly to the TPA/insurer.</w:t>
      </w:r>
    </w:p>
    <w:p>
      <w:pPr>
        <w:pStyle w:val="ListParagraph"/>
        <w:numPr>
          <w:ilvl w:val="0"/>
          <w:numId w:val="2"/>
        </w:numPr>
        <w:spacing w:after="40" w:before="40"/>
      </w:pPr>
      <w:r>
        <w:rPr>
          <w:rFonts w:ascii="Arial" w:cs="Arial" w:eastAsia="Arial" w:hAnsi="Arial"/>
          <w:b w:val="false"/>
          <w:bCs w:val="false"/>
          <w:color w:val="1A1A1A"/>
          <w:sz w:val="21"/>
          <w:szCs w:val="21"/>
        </w:rPr>
        <w:t xml:space="preserve">If the employee has left the organisation, a portability endorsement or individual policy must be in force; claims cannot be filed under an employer's group policy after separation.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9.6  Electric Vehicle (EV) Claims</w:t>
      </w:r>
    </w:p>
    <w:p>
      <w:pPr>
        <w:pStyle w:val="ListParagraph"/>
        <w:numPr>
          <w:ilvl w:val="0"/>
          <w:numId w:val="2"/>
        </w:numPr>
        <w:spacing w:after="40" w:before="40"/>
      </w:pPr>
      <w:r>
        <w:rPr>
          <w:rFonts w:ascii="Arial" w:cs="Arial" w:eastAsia="Arial" w:hAnsi="Arial"/>
          <w:b w:val="false"/>
          <w:bCs w:val="false"/>
          <w:color w:val="1A1A1A"/>
          <w:sz w:val="21"/>
          <w:szCs w:val="21"/>
        </w:rPr>
        <w:t xml:space="preserve">Battery health certificate issued by the authorised EV service centre — insurers are increasingly requiring battery condition reports for EV claims.</w:t>
      </w:r>
    </w:p>
    <w:p>
      <w:pPr>
        <w:pStyle w:val="ListParagraph"/>
        <w:numPr>
          <w:ilvl w:val="0"/>
          <w:numId w:val="2"/>
        </w:numPr>
        <w:spacing w:after="40" w:before="40"/>
      </w:pPr>
      <w:r>
        <w:rPr>
          <w:rFonts w:ascii="Arial" w:cs="Arial" w:eastAsia="Arial" w:hAnsi="Arial"/>
          <w:b w:val="false"/>
          <w:bCs w:val="false"/>
          <w:color w:val="1A1A1A"/>
          <w:sz w:val="21"/>
          <w:szCs w:val="21"/>
        </w:rPr>
        <w:t xml:space="preserve">Charging station records / app data showing the vehicle was not being overcharged or improperly charged at the time of the battery-related damage.</w:t>
      </w:r>
    </w:p>
    <w:p>
      <w:pPr>
        <w:pStyle w:val="ListParagraph"/>
        <w:numPr>
          <w:ilvl w:val="0"/>
          <w:numId w:val="2"/>
        </w:numPr>
        <w:spacing w:after="40" w:before="40"/>
      </w:pPr>
      <w:r>
        <w:rPr>
          <w:rFonts w:ascii="Arial" w:cs="Arial" w:eastAsia="Arial" w:hAnsi="Arial"/>
          <w:b w:val="false"/>
          <w:bCs w:val="false"/>
          <w:color w:val="1A1A1A"/>
          <w:sz w:val="21"/>
          <w:szCs w:val="21"/>
        </w:rPr>
        <w:t xml:space="preserve">OEM-authorised service centre report for battery damage claims — non-authorised service centre reports are typically not accepted.</w:t>
      </w:r>
    </w:p>
    <w:p>
      <w:pPr>
        <w:pStyle w:val="ListParagraph"/>
        <w:numPr>
          <w:ilvl w:val="0"/>
          <w:numId w:val="2"/>
        </w:numPr>
        <w:spacing w:after="40" w:before="40"/>
      </w:pPr>
      <w:r>
        <w:rPr>
          <w:rFonts w:ascii="Arial" w:cs="Arial" w:eastAsia="Arial" w:hAnsi="Arial"/>
          <w:b w:val="false"/>
          <w:bCs w:val="false"/>
          <w:color w:val="1A1A1A"/>
          <w:sz w:val="21"/>
          <w:szCs w:val="21"/>
        </w:rPr>
        <w:t xml:space="preserve">Software / Telematics log from the vehicle's onboard system, if available, to corroborate the circumstances of the accident or damage.</w:t>
      </w:r>
    </w:p>
    <w:p>
      <w:r>
        <w:br w:type="page"/>
      </w:r>
    </w:p>
    <w:p>
      <w:pPr>
        <w:pStyle w:val="Heading1"/>
        <w:pBdr>
          <w:bottom w:val="single" w:color="2E75B6" w:sz="6" w:space="4"/>
        </w:pBdr>
        <w:spacing w:after="160" w:before="360"/>
      </w:pPr>
      <w:r>
        <w:rPr>
          <w:rFonts w:ascii="Arial" w:cs="Arial" w:eastAsia="Arial" w:hAnsi="Arial"/>
          <w:b/>
          <w:bCs/>
          <w:color w:val="1B3A6B"/>
          <w:sz w:val="32"/>
          <w:szCs w:val="32"/>
        </w:rPr>
        <w:t xml:space="preserve">10.  Final Submission Checklist &amp; Sign-Off</w:t>
      </w:r>
    </w:p>
    <w:p>
      <w:pPr>
        <w:spacing w:after="80" w:before="60"/>
        <w:jc w:val="both"/>
      </w:pPr>
      <w:r>
        <w:rPr>
          <w:rFonts w:ascii="Arial" w:cs="Arial" w:eastAsia="Arial" w:hAnsi="Arial"/>
          <w:color w:val="1A1A1A"/>
          <w:sz w:val="22"/>
          <w:szCs w:val="22"/>
        </w:rPr>
        <w:t xml:space="preserve">Before submitting your claim, use this master sign-off checklist to ensure nothing is missing. A complete, well-organized submission is the single most effective way to ensure prompt and fair settlement.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HEALTH CLAIM — FINAL SUBMISSION CHECKLIST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Document / Action</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Verified?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Claim form — all sections filled, signed, and dated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Policy document / health card — attested copy enclosed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Photo ID proof (Aadhaar/PAN/Passport) enclosed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Discharge summary — original or attested hospital copy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original hospital bills — itemized, stamped, signed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payment receipts — correspond to bills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prescriptions by treating doctor — stamped &amp; signed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investigation reports — labelled in chronological order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Pharmacy bills — match prescriptions, original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OT notes / Procedure notes (if surgical)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Implant stickers and invoices (if applicable)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Cancelled cheque + NEFT details enclosed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Pre-authorization copy (cashless) or self-pay receipt (reimbursement)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Previous hospitalization records (for chronic illness claims)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Photocopies of all originals retained by claimant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CAR ACCIDENT CLAIM — FINAL SUBMISSION CHECKLIST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Document / Action</w:t>
            </w:r>
          </w:p>
        </w:tc>
        <w:tc>
          <w:tcPr>
            <w:tcW w:type="dxa" w:w="21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Verified?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Motor claim form — fully filled, signed by owner/insured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Insurance policy copy — attested, valid at time of accident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RC Book copy — attested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Driving licence copy — valid, appropriate class, attested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FIR copy — certified copy from police station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Accident site photographs — multiple angles, dated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Repair estimate from authorized workshop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PUC certificate — valid at time of accident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PAN copy — for claims above Rs. 1 lakh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Cancelled cheque + NEFT details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Towing receipt (if vehicle was towed)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Final repair bill — after surveyor approval (post-repair)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NOC from bank / financier (for total loss or theft)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Police non-traceable certificate (for theft claims)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All vehicle keys surrendered (for total loss / theft)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1A1A1A"/>
                <w:sz w:val="19"/>
                <w:szCs w:val="19"/>
              </w:rPr>
              <w:t xml:space="preserve">[ ] Yes  [ ] N/A</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2"/>
              <w:bottom w:val="single" w:color="1B3A6B" w:sz="1"/>
              <w:right w:val="single" w:color="1B3A6B" w:sz="1"/>
            </w:tcBorders>
            <w:shd w:fill="D6E4F0" w:val="clear"/>
            <w:tcMar>
              <w:top w:type="dxa" w:w="100"/>
              <w:left w:type="dxa" w:w="200"/>
              <w:bottom w:type="dxa" w:w="100"/>
              <w:right w:type="dxa" w:w="160"/>
            </w:tcMar>
          </w:tcPr>
          <w:p>
            <w:r>
              <w:rPr>
                <w:rFonts w:ascii="Arial" w:cs="Arial" w:eastAsia="Arial" w:hAnsi="Arial"/>
                <w:color w:val="1A1A1A"/>
                <w:sz w:val="21"/>
                <w:szCs w:val="21"/>
              </w:rPr>
              <w:t xml:space="preserve">FINAL ADVISORY: File your claim promptly, completely, and honestly. Insurance is a contract of utmost good faith (Uberrimae Fidei). Both the insured and the insurer are bound by this principle. Honest, complete, and timely disclosure will always result in the fastest and most favorable claim resolution. When in doubt, consult a licensed insurance agent, claims professional, or insurance ombudsman.</w:t>
            </w:r>
          </w:p>
        </w:tc>
      </w:tr>
    </w:tbl>
    <w:p>
      <w:pPr>
        <w:spacing w:after="60" w:before="80"/>
      </w:pPr>
      <w:r>
        <w:t xml:space="preserve"/>
      </w:r>
    </w:p>
    <w:p>
      <w:pPr>
        <w:spacing w:after="60" w:before="120"/>
        <w:jc w:val="center"/>
      </w:pPr>
      <w:r>
        <w:rPr>
          <w:rFonts w:ascii="Arial" w:cs="Arial" w:eastAsia="Arial" w:hAnsi="Arial"/>
          <w:b/>
          <w:bCs/>
          <w:color w:val="1B3A6B"/>
          <w:sz w:val="22"/>
          <w:szCs w:val="22"/>
        </w:rPr>
        <w:t xml:space="preserve">— END OF DOCUMENT —</w:t>
      </w:r>
    </w:p>
    <w:p>
      <w:pPr>
        <w:spacing w:after="80" w:before="40"/>
        <w:jc w:val="center"/>
      </w:pPr>
      <w:r>
        <w:rPr>
          <w:rFonts w:ascii="Arial" w:cs="Arial" w:eastAsia="Arial" w:hAnsi="Arial"/>
          <w:i/>
          <w:iCs/>
          <w:color w:val="4A4A4A"/>
          <w:sz w:val="18"/>
          <w:szCs w:val="18"/>
        </w:rPr>
        <w:t xml:space="preserve">This document is provided for informational purposes only and should be used in conjunction with your specific insurance policy terms and insurer guidelines.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00"/>
    </w:pPr>
    <w:r>
      <w:rPr>
        <w:rFonts w:ascii="Arial" w:cs="Arial" w:eastAsia="Arial" w:hAnsi="Arial"/>
        <w:color w:val="4A4A4A"/>
        <w:sz w:val="17"/>
        <w:szCs w:val="17"/>
      </w:rPr>
      <w:t xml:space="preserve">For Policyholders, HR Teams &amp; Claims Professionals  |  IRDAI Compliant Guidelines</w:t>
    </w:r>
    <w:r>
      <w:rPr>
        <w:rFonts w:ascii="Arial" w:cs="Arial" w:eastAsia="Arial" w:hAnsi="Arial"/>
        <w:color w:val="4A4A4A"/>
        <w:sz w:val="17"/>
        <w:szCs w:val="17"/>
      </w:rPr>
      <w:t xml:space="preserve">	Page </w:t>
    </w:r>
    <w:r>
      <w:rPr>
        <w:rFonts w:ascii="Arial" w:cs="Arial" w:eastAsia="Arial" w:hAnsi="Arial"/>
        <w:color w:val="1B3A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b/>
        <w:bCs/>
        <w:color w:val="1B3A6B"/>
        <w:sz w:val="18"/>
        <w:szCs w:val="18"/>
      </w:rPr>
      <w:t xml:space="preserve">INSURANCE CLAIM FILING CHECKLISTS &amp; DOCUMENTATION GUIDE</w:t>
    </w:r>
    <w:r>
      <w:rPr>
        <w:rFonts w:ascii="Arial" w:cs="Arial" w:eastAsia="Arial" w:hAnsi="Arial"/>
        <w:color w:val="4A4A4A"/>
        <w:sz w:val="18"/>
        <w:szCs w:val="18"/>
      </w:rPr>
      <w:t xml:space="preserve">  |  Version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2026-04-17T07:14:11.793Z</dcterms:created>
  <dcterms:modified xsi:type="dcterms:W3CDTF">2026-04-17T07:14:11.794Z</dcterms:modified>
</cp:coreProperties>
</file>

<file path=docProps/custom.xml><?xml version="1.0" encoding="utf-8"?>
<Properties xmlns="http://schemas.openxmlformats.org/officeDocument/2006/custom-properties" xmlns:vt="http://schemas.openxmlformats.org/officeDocument/2006/docPropsVTypes"/>
</file>