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Title"/>
      </w:pPr>
      <w:r>
        <w:rPr>
          <w:b/>
          <w:sz w:val="32"/>
        </w:rPr>
        <w:t>Europe Ministerial Summit Aide-Mémoire &amp; Talking Points (Brussels / Strasbourg)</w:t>
      </w:r>
    </w:p>
    <w:p>
      <w:pPr>
        <w:pStyle w:val="Subtitle"/>
      </w:pPr>
      <w:r>
        <w:rPr>
          <w:i/>
          <w:sz w:val="24"/>
        </w:rPr>
        <w:t>Analyst Working Draft — Bilateral Ministerial Preparation &amp; Horizon Europe</w:t>
      </w:r>
    </w:p>
    <w:tbl>
      <w:tblPr>
        <w:tblBorders>
          <w:top w:val="single" w:sz="6" w:space="0" w:color="2F5597"/>
          <w:left w:val="single" w:sz="6" w:space="0" w:color="2F5597"/>
          <w:bottom w:val="single" w:sz="6" w:space="0" w:color="2F5597"/>
          <w:right w:val="single" w:sz="6" w:space="0" w:color="2F5597"/>
          <w:insideH w:val="single" w:sz="4" w:space="0" w:color="D9E2F3"/>
          <w:insideV w:val="single" w:sz="4" w:space="0" w:color="D9E2F3"/>
        </w:tblBorders>
      </w:tblPr>
      <w:tr>
        <w:tc>
          <w:p>
            <w:r>
              <w:rPr>
                <w:b/>
              </w:rPr>
              <w:t>Country (SharePoint Column)</w:t>
            </w:r>
          </w:p>
        </w:tc>
        <w:tc>
          <w:p>
            <w:r>
              <w:t>Europe</w:t>
            </w:r>
          </w:p>
        </w:tc>
      </w:tr>
      <w:tr>
        <w:tc>
          <w:p>
            <w:r>
              <w:rPr>
                <w:b/>
              </w:rPr>
              <w:t>Managed Property (RefinableString100)</w:t>
            </w:r>
          </w:p>
        </w:tc>
        <w:tc>
          <w:p>
            <w:r>
              <w:t>Europe</w:t>
            </w:r>
          </w:p>
        </w:tc>
      </w:tr>
      <w:tr>
        <w:tc>
          <w:p>
            <w:r>
              <w:rPr>
                <w:b/>
              </w:rPr>
              <w:t>Repository Folder</w:t>
            </w:r>
          </w:p>
        </w:tc>
        <w:tc>
          <w:p>
            <w:r>
              <w:t>MyFiles</w:t>
            </w:r>
          </w:p>
        </w:tc>
      </w:tr>
      <w:tr>
        <w:tc>
          <w:p>
            <w:r>
              <w:rPr>
                <w:b/>
              </w:rPr>
              <w:t>Document ID</w:t>
            </w:r>
          </w:p>
        </w:tc>
        <w:tc>
          <w:p>
            <w:r>
              <w:t>GAC-MY-EU-006</w:t>
            </w:r>
          </w:p>
        </w:tc>
      </w:tr>
      <w:tr>
        <w:tc>
          <w:p>
            <w:r>
              <w:rPr>
                <w:b/>
              </w:rPr>
              <w:t>Lead Author / Unit</w:t>
            </w:r>
          </w:p>
        </w:tc>
        <w:tc>
          <w:p>
            <w:r>
              <w:t>Claire Beauchamp (Chief Briefing Coordinator, Europe Bilateral Relations)</w:t>
            </w:r>
          </w:p>
        </w:tc>
      </w:tr>
      <w:tr>
        <w:tc>
          <w:p>
            <w:r>
              <w:rPr>
                <w:b/>
              </w:rPr>
              <w:t>Diplomatic Mission</w:t>
            </w:r>
          </w:p>
        </w:tc>
        <w:tc>
          <w:p>
            <w:r>
              <w:t>Mission to the European Union, Avenue de Cortenbergh, Brussels</w:t>
            </w:r>
          </w:p>
        </w:tc>
      </w:tr>
      <w:tr>
        <w:tc>
          <w:p>
            <w:r>
              <w:rPr>
                <w:b/>
              </w:rPr>
              <w:t>Key Counterpart Institutions</w:t>
            </w:r>
          </w:p>
        </w:tc>
        <w:tc>
          <w:p>
            <w:r>
              <w:t>European Council, European Commission College of Commissioners, Horizon Europe Pillar II Directorate</w:t>
            </w:r>
          </w:p>
        </w:tc>
      </w:tr>
      <w:tr>
        <w:tc>
          <w:p>
            <w:r>
              <w:rPr>
                <w:b/>
              </w:rPr>
              <w:t>Flagship Policy Instrument</w:t>
            </w:r>
          </w:p>
        </w:tc>
        <w:tc>
          <w:p>
            <w:r>
              <w:t>Strategic Partnership Agreement (SPA), Horizon Europe Association Pillar II, and Schengen ETIAS Mobility</w:t>
            </w:r>
          </w:p>
        </w:tc>
      </w:tr>
      <w:tr>
        <w:tc>
          <w:p>
            <w:r>
              <w:rPr>
                <w:b/>
              </w:rPr>
              <w:t>SharePoint Target URL</w:t>
            </w:r>
          </w:p>
        </w:tc>
        <w:tc>
          <w:p>
            <w:r>
              <w:t>https://m365cpi50688407.sharepoint.com/sites/site2/Shared Documents/MyFiles/EU_06_MyFiles_Ministerial_Summit_Talking_Points_Brussels.docx</w:t>
            </w:r>
          </w:p>
        </w:tc>
      </w:tr>
    </w:tbl>
    <w:p>
      <w:pPr>
        <w:pStyle w:val="Heading1"/>
      </w:pPr>
      <w:r>
        <w:rPr>
          <w:b/>
          <w:sz w:val="28"/>
        </w:rPr>
        <w:t>Page 1 — Executive Summary &amp; Europe Jurisdictional Mandate</w:t>
      </w:r>
    </w:p>
    <w:p>
      <w:r>
        <w:rPr>
          <w:sz w:val="22"/>
        </w:rPr>
        <w:t xml:space="preserve">DOCUMENT CLASSIFICATION METADATA — COUNTRY: Europe | MANAGED PROPERTY: RefinableString100=Europe | REPOSITORY FOLDER: MyFiles | DOCUMENT ID: GAC-MY-EU-006</w:t>
      </w:r>
    </w:p>
    <w:p>
      <w:r>
        <w:rPr>
          <w:sz w:val="22"/>
        </w:rPr>
        <w:t xml:space="preserve">1.1 Executive Mandate and Jurisdictional Scope (Europe): This Analyst Working Briefing &amp; Operational Memo (MyFiles Personal/Team Workspace) provides an authoritative, multi-page assessment exclusively scoped to Europe. Within the Two-Level Retrieval Architecture for Microsoft 365 Copilot Retrieval API, this document is governed under the SharePoint library column Country = 'Europe' (mapped in the SharePoint Search Schema to the queryable managed property RefinableString100 = 'Europe') and stored inside the 'MyFiles' folder on SharePoint site2 (https://m365cpi50688407.sharepoint.com/sites/site2/Shared Documents/MyFiles/EU_06_MyFiles_Ministerial_Summit_Talking_Points_Brussels.docx).</w:t>
      </w:r>
    </w:p>
    <w:p>
      <w:r>
        <w:rPr>
          <w:sz w:val="22"/>
        </w:rPr>
        <w:t xml:space="preserve">1.2 Lead Diplomatic Mission and Institutional Counterparts in Europe: Primary operational coordination is led by Mission to the European Union, Avenue de Cortenbergh, Brussels, engaging directly with European Council, European Commission College of Commissioners, Horizon Europe Pillar II Directorate. All policy recommendations, briefing talking points, and risk assessments in this dossier apply strictly to the Europe bilateral and multilateral theatre.</w:t>
      </w:r>
    </w:p>
    <w:p>
      <w:r>
        <w:rPr>
          <w:sz w:val="22"/>
        </w:rPr>
        <w:t xml:space="preserve">1.3 Flagship Regulatory and Policy Anchor (Europe): The central policy instrument governing current engagement with Europe is Strategic Partnership Agreement (SPA), Horizon Europe Association Pillar II, and Schengen ETIAS Mobility. Senior officials and briefing analysts preparing ministerial aide-mémoires for Europe must anchor all commercial, technological, and security assessments in the compliance milestones established by European Council, European Commission College of Commissioners, Horizon Europe Pillar II Directorate.</w:t>
      </w:r>
    </w:p>
    <w:p>
      <w:r>
        <w:rPr>
          <w:sz w:val="22"/>
        </w:rPr>
        <w:t xml:space="preserve">1.4 Summary of Strategic Indicators for Europe: Bilateral commercial volume and strategic exposure are characterized by EUR 68.4 billion bidirectional foreign direct investment stock across Germany, France, Netherlands, Ireland, and Italy; 99% tariff line elimination under CETA. Across the 2026–2028 planning horizon, departmental priorities for Europe center on safeguarding supply chain resilience, aligning clean energy and digital standards, and executing the deliverables defined for Adoption of the Brussels Joint Ministerial Communiqué covering CETA ratification progress, Horizon Europe research grants, and Arctic-European scientific cooperation.</w:t>
      </w:r>
    </w:p>
    <w:p>
      <w:r>
        <w:rPr>
          <w:sz w:val="22"/>
        </w:rPr>
        <w:t xml:space="preserve">1.5 Two-Level Retrieval Verification Marker (Europe / MyFiles): When a user selects 'Europe' in the conversational webchat interface, Level 1 deterministic filtering narrows the SharePoint candidate document set to files tagged with Country='Europe' (RefinableString100:'Europe'). Level 2 semantic retrieval then extracts grounded passages exclusively from the confirmed Europe file paths, ensuring zero cross-contamination from other jurisdictions.</w:t>
      </w:r>
    </w:p>
    <w:p>
      <w:r>
        <w:rPr>
          <w:sz w:val="22"/>
        </w:rPr>
        <w:t xml:space="preserve">1.6 Departmental Governance and Quality Assurance (Europe): In accordance with the AIde-Mémoire Architecture Design Document v2.0 (Section 8.1), all source materials inside MyFiles classified under Country='Europe' undergo mandatory metadata verification prior to briefing synthesis. The delegated Microsoft Graph token enforces SharePoint item-level security trimming while preserving strict country-boundary isolation for Europe throughout both retrieval stages.</w:t>
      </w:r>
    </w:p>
    <w:p>
      <w:r>
        <w:rPr>
          <w:sz w:val="22"/>
        </w:rPr>
        <w:t xml:space="preserve">1.7 Comparative Baseline and Analytical Scope (Europe): Briefing officers consulting this Europe document should cross-reference the statistical annexes maintained by European Council, European Commission College of Commissioners, Horizon Europe Pillar II Directorate and the operational cables transmitted by Mission to the European Union, Avenue de Cortenbergh, Brussels. Key performance indicators tracked across pages 2 through 6 include tariff schedules, clean energy capacity additions, AI conformity deadlines, critical mineral refining shares, and ministerial summit deliverables specific to Europe.</w:t>
      </w:r>
    </w:p>
    <w:p>
      <w:r>
        <w:br w:type="page"/>
      </w:r>
    </w:p>
    <w:p>
      <w:pPr>
        <w:pStyle w:val="Heading1"/>
      </w:pPr>
      <w:r>
        <w:rPr>
          <w:b/>
          <w:sz w:val="28"/>
        </w:rPr>
        <w:t>Page 2 — Europe Bilateral Trade, Tariffs &amp; Market Access Analysis</w:t>
      </w:r>
    </w:p>
    <w:p>
      <w:r>
        <w:rPr>
          <w:sz w:val="22"/>
        </w:rPr>
        <w:t xml:space="preserve">2.1 Bilateral Trade Architecture, Tariff Schedules, and Market Access in Europe: Economic and commercial relations with Europe are currently shaped by Strategic Partnership Agreement (SPA), Horizon Europe Association Pillar II, and Schengen ETIAS Mobility. Quantitative trade tracking confirms EUR 68.4 billion bidirectional foreign direct investment stock across Germany, France, Netherlands, Ireland, and Italy; 99% tariff line elimination under CETA. Customs authorities and trade negotiators interacting with European Council, European Commission College of Commissioners, Horizon Europe Pillar II Directorate have prioritized predictable rules of origin, tariff rate quota transparency, and dispute avoidance mechanisms specific to Europe.</w:t>
      </w:r>
    </w:p>
    <w:p>
      <w:r>
        <w:rPr>
          <w:sz w:val="22"/>
        </w:rPr>
        <w:t xml:space="preserve">2.2 Sectoral Tariff Exposure and Industrial Competitiveness (Europe): In the Europe market, industrial exporters face evolving regulatory compliance requirements tied to border adjustments, technical standards, and domestic industrial incentives. Specifically, Pharmaceutical active ingredient resilience under the European Critical Medicines Alliance and agricultural GI (Geographical Indications) protections represents the primary operational bottleneck requiring coordinated intervention by Mission to the European Union, Avenue de Cortenbergh, Brussels.</w:t>
      </w:r>
    </w:p>
    <w:p>
      <w:r>
        <w:rPr>
          <w:sz w:val="22"/>
        </w:rPr>
        <w:t xml:space="preserve">2.3 Customs Digitization and Border Facilitation (Europe): Trade compliance workflows with Europe increasingly rely on Horizon Europe Pillar II digital, quantum, and photonics joint calls (EUR 95.5 billion total programme budget). Exporters and logistics operators routing cargo into Europe must submit verified electronic declarations demonstrating adherence to Europe statutory standards, carbon accounting methodologies, and supply-chain origin audits.</w:t>
      </w:r>
    </w:p>
    <w:p>
      <w:r>
        <w:rPr>
          <w:sz w:val="22"/>
        </w:rPr>
        <w:t xml:space="preserve">2.4 Foreign Direct Investment (FDI) and Outbound/Inbound Screening (Europe): Capital flows between domestic enterprises and Europe counterparties are subject to heightened scrutiny under Coordinated G7 and European sanctions enforcement against illicit maritime shadow fleets in the Baltic and Mediterranean seas. Legal and commercial teams evaluating joint ventures, greenfield facilities, or technology licensing in Europe must complete pre-transaction assessments covering national security review thresholds and subsidy disclosure rules enforced by European Council, European Commission College of Commissioners, Horizon Europe Pillar II Directorate.</w:t>
      </w:r>
    </w:p>
    <w:p>
      <w:r>
        <w:rPr>
          <w:sz w:val="22"/>
        </w:rPr>
        <w:t xml:space="preserve">2.5 Commercial Policy Recommendations for Europe: (a) Establish a dedicated bilateral technical working group with European Council, European Commission College of Commissioners, Horizon Europe Pillar II Directorate to resolve customs and conformity assessment friction; (b) publish updated sector guidance for SMEs exporting to Europe under Strategic Partnership Agreement (SPA), Horizon Europe Association Pillar II, and Schengen ETIAS Mobility; and (c) advance the trade deliverables scheduled for Adoption of the Brussels Joint Ministerial Communiqué covering CETA ratification progress, Horizon Europe research grants, and Arctic-European scientific cooperation.</w:t>
      </w:r>
    </w:p>
    <w:p>
      <w:r>
        <w:rPr>
          <w:sz w:val="22"/>
        </w:rPr>
        <w:t xml:space="preserve">2.6 Non-Tariff Barriers, Sanitary/Phytosanitary Standards, and Technical Regulations (Europe): Beyond headline customs duties, market access into Europe depends on conformity with product safety, environmental labeling, and sector-specific certification regimes administered by European Council, European Commission College of Commissioners, Horizon Europe Pillar II Directorate. Commercial attachés at Mission to the European Union, Avenue de Cortenbergh, Brussels conduct bi-weekly regulatory horizon scanning to prevent shipment holds at primary Europe ports of entry.</w:t>
      </w:r>
    </w:p>
    <w:p>
      <w:r>
        <w:rPr>
          <w:sz w:val="22"/>
        </w:rPr>
        <w:t xml:space="preserve">2.7 Bilateral Trade Dispute Resolution and Institutional Mechanisms (Europe): Where divergent interpretations arise under Strategic Partnership Agreement (SPA), Horizon Europe Association Pillar II, and Schengen ETIAS Mobility, structured consultations through the relevant bilateral trade committees provide an early-resolution channel prior to formal arbitral or multilateral proceedings. All evidentiary submissions for Europe trade reviews are indexed under Country='Europe' (RefinableString100='Europe').</w:t>
      </w:r>
    </w:p>
    <w:p>
      <w:r>
        <w:br w:type="page"/>
      </w:r>
    </w:p>
    <w:p>
      <w:pPr>
        <w:pStyle w:val="Heading1"/>
      </w:pPr>
      <w:r>
        <w:rPr>
          <w:b/>
          <w:sz w:val="28"/>
        </w:rPr>
        <w:t>Page 3 — Europe Clean Energy Transition &amp; Critical Minerals Strategy</w:t>
      </w:r>
    </w:p>
    <w:p>
      <w:r>
        <w:rPr>
          <w:sz w:val="22"/>
        </w:rPr>
        <w:t xml:space="preserve">3.1 Clean Energy Transition, Decarbonization Policies, and Grid Infrastructure in Europe: Energy security and net-zero industrial transformation form a cornerstone of engagement with Europe. Under Trans-Atlantic Clean Aviation SAF (Sustainable Aviation Fuel) corridor between European hubs (Frankfurt, Amsterdam, Paris CDG) and North America, Europe has accelerated capital deployment into renewable power generation, clean hydrogen infrastructure, and industrial electrification overseen by European Council, European Commission College of Commissioners, Horizon Europe Pillar II Directorate.</w:t>
      </w:r>
    </w:p>
    <w:p>
      <w:r>
        <w:rPr>
          <w:sz w:val="22"/>
        </w:rPr>
        <w:t xml:space="preserve">3.2 Carbon Pricing, Emissions Trading, and Clean Tech Subsidies (Europe): Industrial decarbonization in Europe is reinforced through statutory carbon pricing and targeted fiscal instruments linked to Strategic Partnership Agreement (SPA), Horizon Europe Association Pillar II, and Schengen ETIAS Mobility. As documented in recent economic filings (EUR 68.4 billion bidirectional foreign direct investment stock across Germany, France, Netherlands, Ireland, and Italy; 99% tariff line elimination under CETA), energy-intensive manufacturers operating in or exporting to Europe must account for embedded lifecycle emissions, verified clean power purchase agreements, and certified low-carbon fuel standards.</w:t>
      </w:r>
    </w:p>
    <w:p>
      <w:r>
        <w:rPr>
          <w:sz w:val="22"/>
        </w:rPr>
        <w:t xml:space="preserve">3.3 Critical Minerals, Battery Value Chains, and Refining Capacity (Europe): Securing resilient upstream and midstream mineral supply chains is directly tied to Pharmaceutical active ingredient resilience under the European Critical Medicines Alliance and agricultural GI (Geographical Indications) protections. Within the Europe jurisdiction, policy measures prioritize domestic and allied processing capacity for lithium, nickel, cobalt, battery-grade graphite, and rare earth permanent magnets required for electric vehicles and grid storage.</w:t>
      </w:r>
    </w:p>
    <w:p>
      <w:r>
        <w:rPr>
          <w:sz w:val="22"/>
        </w:rPr>
        <w:t xml:space="preserve">3.4 Cross-Border Energy Corridors and Clean Fuel Certification (Europe): Bilateral technical teams led by Mission to the European Union, Avenue de Cortenbergh, Brussels are advancing mutual recognition of guarantee-of-origin certificates, carbon intensity accounting, and clean fuel logistics under Trans-Atlantic Clean Aviation SAF (Sustainable Aviation Fuel) corridor between European hubs (Frankfurt, Amsterdam, Paris CDG) and North America. Harmonizing verification protocols with European Council, European Commission College of Commissioners, Horizon Europe Pillar II Directorate prevents duplicative testing and unlocks long-term offtake financing.</w:t>
      </w:r>
    </w:p>
    <w:p>
      <w:r>
        <w:rPr>
          <w:sz w:val="22"/>
        </w:rPr>
        <w:t xml:space="preserve">3.5 Energy &amp; Climate Action Plan for Europe: Priority actions for the upcoming quarter include finalizing clean energy technical annexes under Adoption of the Brussels Joint Ministerial Communiqué covering CETA ratification progress, Horizon Europe research grants, and Arctic-European scientific cooperation, aligning sustainable finance taxonomies with Europe regulators, and expanding joint R&amp;D on grid resilience and next-generation nuclear/storage technologies.</w:t>
      </w:r>
    </w:p>
    <w:p>
      <w:r>
        <w:rPr>
          <w:sz w:val="22"/>
        </w:rPr>
        <w:t xml:space="preserve">3.6 Industrial Electrification and Green Manufacturing Benchmarks (Europe): Heavy industry transition plans across Europe require deep integration between zero-emission baseload generation, grid-scale battery storage, and green hydrogen feedstocks. Project developers engaging with European Council, European Commission College of Commissioners, Horizon Europe Pillar II Directorate under Trans-Atlantic Clean Aviation SAF (Sustainable Aviation Fuel) corridor between European hubs (Frankfurt, Amsterdam, Paris CDG) and North America must satisfy stringent lifecycle greenhouse gas reduction thresholds and domestic content or diversification benchmarks.</w:t>
      </w:r>
    </w:p>
    <w:p>
      <w:r>
        <w:rPr>
          <w:sz w:val="22"/>
        </w:rPr>
        <w:t xml:space="preserve">3.7 Climate Finance, Green Bonds, and Transition Taxonomy Alignment (Europe): Institutional investors financing decarbonization projects in Europe rely on standardized climate disclosure and taxonomy frameworks overseen by European Council, European Commission College of Commissioners, Horizon Europe Pillar II Directorate. Aligning bilateral export credit and project finance guarantees with Europe sustainability standards remains a key deliverable under Adoption of the Brussels Joint Ministerial Communiqué covering CETA ratification progress, Horizon Europe research grants, and Arctic-European scientific cooperation.</w:t>
      </w:r>
    </w:p>
    <w:p>
      <w:r>
        <w:br w:type="page"/>
      </w:r>
    </w:p>
    <w:p>
      <w:pPr>
        <w:pStyle w:val="Heading1"/>
      </w:pPr>
      <w:r>
        <w:rPr>
          <w:b/>
          <w:sz w:val="28"/>
        </w:rPr>
        <w:t>Page 4 — Europe AI Governance, Digital Sovereignty &amp; Cyber Regulation</w:t>
      </w:r>
    </w:p>
    <w:p>
      <w:r>
        <w:rPr>
          <w:sz w:val="22"/>
        </w:rPr>
        <w:t xml:space="preserve">4.1 Artificial Intelligence Governance, Digital Sovereignty, and Data Regulation in Europe: The digital regulatory landscape in Europe is defined by Horizon Europe Pillar II digital, quantum, and photonics joint calls (EUR 95.5 billion total programme budget) and enforced by European Council, European Commission College of Commissioners, Horizon Europe Pillar II Directorate. Organizations deploying foundation models, high-risk AI systems, or cloud infrastructure in Europe must comply with mandatory risk classifications, algorithmic transparency obligations, and post-market monitoring.</w:t>
      </w:r>
    </w:p>
    <w:p>
      <w:r>
        <w:rPr>
          <w:sz w:val="22"/>
        </w:rPr>
        <w:t xml:space="preserve">4.2 Cross-Border Data Flows, Privacy Compliance, and Localization Rules (Europe): Data governance under Strategic Partnership Agreement (SPA), Horizon Europe Association Pillar II, and Schengen ETIAS Mobility establishes strict legal mechanisms for international data transfers involving Europe. Enterprises operating across Europe must maintain validated transfer instruments, privacy impact assessments, and cybersecurity safeguards aligned with Coordinated G7 and European sanctions enforcement against illicit maritime shadow fleets in the Baltic and Mediterranean seas.</w:t>
      </w:r>
    </w:p>
    <w:p>
      <w:r>
        <w:rPr>
          <w:sz w:val="22"/>
        </w:rPr>
        <w:t xml:space="preserve">4.3 Semiconductor Ecosystems, High-Performance Computing, and Quantum Research (Europe): Technological competitiveness in Europe is anchored by strategic investments in advanced microelectronics, AI compute infrastructure, and quantum technologies (Horizon Europe Pillar II digital, quantum, and photonics joint calls (EUR 95.5 billion total programme budget)). Supply-chain coordination focusing on Pharmaceutical active ingredient resilience under the European Critical Medicines Alliance and agricultural GI (Geographical Indications) protections is essential to mitigate fabrication bottlenecks and export control disruptions.</w:t>
      </w:r>
    </w:p>
    <w:p>
      <w:r>
        <w:rPr>
          <w:sz w:val="22"/>
        </w:rPr>
        <w:t xml:space="preserve">4.4 Cybersecurity Standards and Critical Infrastructure Protection (Europe): Under Coordinated G7 and European sanctions enforcement against illicit maritime shadow fleets in the Baltic and Mediterranean seas, Europe authorities require rapid incident reporting, software bill of materials (SBOM) attestation, and hardware supply-chain integrity across telecommunications, financial services, energy grids, and government networks.</w:t>
      </w:r>
    </w:p>
    <w:p>
      <w:r>
        <w:rPr>
          <w:sz w:val="22"/>
        </w:rPr>
        <w:t xml:space="preserve">4.5 Digital &amp; AI Policy Directives for Europe: Analysts preparing briefing materials for Europe should highlight regulatory interoperability opportunities between domestic AI safety institutes and European Council, European Commission College of Commissioners, Horizon Europe Pillar II Directorate, while tracking compliance deadlines under Strategic Partnership Agreement (SPA), Horizon Europe Association Pillar II, and Schengen ETIAS Mobility.</w:t>
      </w:r>
    </w:p>
    <w:p>
      <w:r>
        <w:rPr>
          <w:sz w:val="22"/>
        </w:rPr>
        <w:t xml:space="preserve">4.6 Frontier AI Model Evaluation, Red-Teaming, and Algorithmic Auditing (Europe): Technical standards bodies in Europe (European Council, European Commission College of Commissioners, Horizon Europe Pillar II Directorate) have instituted structured evaluation protocols for general-purpose and frontier AI models covering systemic safety, cybersecurity resilience, synthetic content provenance, and copyright transparency under Horizon Europe Pillar II digital, quantum, and photonics joint calls (EUR 95.5 billion total programme budget).</w:t>
      </w:r>
    </w:p>
    <w:p>
      <w:r>
        <w:rPr>
          <w:sz w:val="22"/>
        </w:rPr>
        <w:t xml:space="preserve">4.7 Digital Public Infrastructure, Cloud Sovereignty, and Quantum Readiness (Europe): Public-sector cloud procurement and digital identity ecosystems in Europe increasingly mandate cryptographic agility, post-quantum migration roadmaps, and operational resilience verified by European Council, European Commission College of Commissioners, Horizon Europe Pillar II Directorate. Bilateral science and technology cooperation is coordinated through Mission to the European Union, Avenue de Cortenbergh, Brussels.</w:t>
      </w:r>
    </w:p>
    <w:p>
      <w:r>
        <w:br w:type="page"/>
      </w:r>
    </w:p>
    <w:p>
      <w:pPr>
        <w:pStyle w:val="Heading1"/>
      </w:pPr>
      <w:r>
        <w:rPr>
          <w:b/>
          <w:sz w:val="28"/>
        </w:rPr>
        <w:t>Page 5 — Europe Strategic Security, Supply Chains &amp; Export Controls</w:t>
      </w:r>
    </w:p>
    <w:p>
      <w:r>
        <w:rPr>
          <w:sz w:val="22"/>
        </w:rPr>
        <w:t xml:space="preserve">5.1 Strategic Security Posture, Economic Resilience, and Geopolitical Risk in Europe: The broader security and resilience environment in Europe is governed by Coordinated G7 and European sanctions enforcement against illicit maritime shadow fleets in the Baltic and Mediterranean seas. Assessments coordinated through Mission to the European Union, Avenue de Cortenbergh, Brussels emphasize the close linkage between national security, critical infrastructure protection, and economic de-risking across the Europe theatre.</w:t>
      </w:r>
    </w:p>
    <w:p>
      <w:r>
        <w:rPr>
          <w:sz w:val="22"/>
        </w:rPr>
        <w:t xml:space="preserve">5.2 Critical Supply Chain Vulnerabilities and De-Risking Measures (Europe): Detailed supply-chain mapping for Europe identifies high-priority dependencies in Pharmaceutical active ingredient resilience under the European Critical Medicines Alliance and agricultural GI (Geographical Indications) protections. In partnership with European Council, European Commission College of Commissioners, Horizon Europe Pillar II Directorate, contingency protocols have been established to monitor chokepoints, diversify supplier concentration, and maintain strategic buffer inventories.</w:t>
      </w:r>
    </w:p>
    <w:p>
      <w:r>
        <w:rPr>
          <w:sz w:val="22"/>
        </w:rPr>
        <w:t xml:space="preserve">5.3 Export Controls, Sanctions Enforcement, and Dual-Use Technology Screening (Europe): Compliance with dual-use export control regimes and multilateral restrictive measures is a top operational priority when engaging with Europe. Regulatory authorities (European Council, European Commission College of Commissioners, Horizon Europe Pillar II Directorate) enforce rigorous end-user verification, intangible technology transfer controls, and financial screening tied to Strategic Partnership Agreement (SPA), Horizon Europe Association Pillar II, and Schengen ETIAS Mobility.</w:t>
      </w:r>
    </w:p>
    <w:p>
      <w:r>
        <w:rPr>
          <w:sz w:val="22"/>
        </w:rPr>
        <w:t xml:space="preserve">5.4 Infrastructure Resilience and Crisis Response Mechanisms (Europe): Joint preparedness exercises and early-warning consultations in Europe address maritime logistics security, subsea cable and pipeline protection, cyber threat intelligence sharing, and emergency supply-chain coordination under Coordinated G7 and European sanctions enforcement against illicit maritime shadow fleets in the Baltic and Mediterranean seas.</w:t>
      </w:r>
    </w:p>
    <w:p>
      <w:r>
        <w:rPr>
          <w:sz w:val="22"/>
        </w:rPr>
        <w:t xml:space="preserve">5.5 Risk Mitigation Matrix for Europe: Senior decision-makers reviewing Europe files from the MyFiles repository must weigh macroeconomic exposure (EUR 68.4 billion bidirectional foreign direct investment stock across Germany, France, Netherlands, Ireland, and Italy; 99% tariff line elimination under CETA) against regulatory shifts in Strategic Partnership Agreement (SPA), Horizon Europe Association Pillar II, and Schengen ETIAS Mobility, ensuring all bilateral commitments include verifiable safeguard clauses.</w:t>
      </w:r>
    </w:p>
    <w:p>
      <w:r>
        <w:rPr>
          <w:sz w:val="22"/>
        </w:rPr>
        <w:t xml:space="preserve">5.6 Research Security, Dual-Use Academic Collaboration, and IP Protection (Europe): Universities, national laboratories, and corporate R&amp;D centers collaborating with entities in Europe are subject to research security guidelines covering sensitive technology domains (Horizon Europe Pillar II digital, quantum, and photonics joint calls (EUR 95.5 billion total programme budget)). Vetting procedures coordinated with European Council, European Commission College of Commissioners, Horizon Europe Pillar II Directorate protect intellectual property while preserving open scientific exchange where appropriate.</w:t>
      </w:r>
    </w:p>
    <w:p>
      <w:r>
        <w:rPr>
          <w:sz w:val="22"/>
        </w:rPr>
        <w:t xml:space="preserve">5.7 Maritime, Aviation, and Multimodal Logistics Security (Europe): Freight corridors linking domestic ports and air cargo hubs with Europe require continuous customs-security coordination, advance cargo manifest screening, and resilience planning around Pharmaceutical active ingredient resilience under the European Critical Medicines Alliance and agricultural GI (Geographical Indications) protections.</w:t>
      </w:r>
    </w:p>
    <w:p>
      <w:r>
        <w:br w:type="page"/>
      </w:r>
    </w:p>
    <w:p>
      <w:pPr>
        <w:pStyle w:val="Heading1"/>
      </w:pPr>
      <w:r>
        <w:rPr>
          <w:b/>
          <w:sz w:val="28"/>
        </w:rPr>
        <w:t>Page 6 — Europe Ministerial Summit Talking Points &amp; 2026 Deliverables</w:t>
      </w:r>
    </w:p>
    <w:p>
      <w:r>
        <w:rPr>
          <w:sz w:val="22"/>
        </w:rPr>
        <w:t xml:space="preserve">6.1 Ministerial Summit Objectives, Diplomatic Talking Points, and Deliverables (Europe): In preparation for upcoming high-level engagements led by Mission to the European Union, Avenue de Cortenbergh, Brussels, the primary diplomatic objective for Europe is Adoption of the Brussels Joint Ministerial Communiqué covering CETA ratification progress, Horizon Europe research grants, and Arctic-European scientific cooperation. Briefing packages compiled by Claire Beauchamp (Chief Briefing Coordinator, Europe Bilateral Relations) synthesize inputs from trade, energy, digital, and security divisions.</w:t>
      </w:r>
    </w:p>
    <w:p>
      <w:r>
        <w:rPr>
          <w:sz w:val="22"/>
        </w:rPr>
        <w:t xml:space="preserve">6.2 Core Ministerial Talking Points for Europe Counterparts (European Council, European Commission College of Commissioners, Horizon Europe Pillar II Directorate): (1) Reaffirm commitment to rules-based bilateral trade and transparent market access across Europe (EUR 68.4 billion bidirectional foreign direct investment stock across Germany, France, Netherlands, Ireland, and Italy; 99% tariff line elimination under CETA); (2) Advance practical regulatory alignment on Strategic Partnership Agreement (SPA), Horizon Europe Association Pillar II, and Schengen ETIAS Mobility to minimize unintended barriers for compliant industries; (3) Deepen clean energy and critical mineral collaboration through Trans-Atlantic Clean Aviation SAF (Sustainable Aviation Fuel) corridor between European hubs (Frankfurt, Amsterdam, Paris CDG) and North America and Pharmaceutical active ingredient resilience under the European Critical Medicines Alliance and agricultural GI (Geographical Indications) protections; and (4) Strengthen digital trust, AI safety interoperability, and infrastructure resilience under Horizon Europe Pillar II digital, quantum, and photonics joint calls (EUR 95.5 billion total programme budget) and Coordinated G7 and European sanctions enforcement against illicit maritime shadow fleets in the Baltic and Mediterranean seas.</w:t>
      </w:r>
    </w:p>
    <w:p>
      <w:r>
        <w:rPr>
          <w:sz w:val="22"/>
        </w:rPr>
        <w:t xml:space="preserve">6.3 Interdepartmental Coordination and Stakeholder Consultations (Europe): Domestic industry associations, provincial/regional representatives, and research institutions have been consulted regarding Europe market conditions. Stakeholders strongly support the targeted outcomes outlined in Adoption of the Brussels Joint Ministerial Communiqué covering CETA ratification progress, Horizon Europe research grants, and Arctic-European scientific cooperation and request timely guidance on Strategic Partnership Agreement (SPA), Horizon Europe Association Pillar II, and Schengen ETIAS Mobility.</w:t>
      </w:r>
    </w:p>
    <w:p>
      <w:r>
        <w:rPr>
          <w:sz w:val="22"/>
        </w:rPr>
        <w:t xml:space="preserve">6.4 Implementation Timeline and Next Steps (2026–2027) for Europe: Q1–Q2: Technical working group sessions with European Council, European Commission College of Commissioners, Horizon Europe Pillar II Directorate on customs, AI governance, and clean energy standards. Q3: Mid-term review of supply chain resilience metrics (Pharmaceutical active ingredient resilience under the European Critical Medicines Alliance and agricultural GI (Geographical Indications) protections) and bilateral investment flows. Q4: Ministerial summit execution and formal adoption of Adoption of the Brussels Joint Ministerial Communiqué covering CETA ratification progress, Horizon Europe research grants, and Arctic-European scientific cooperation.</w:t>
      </w:r>
    </w:p>
    <w:p>
      <w:r>
        <w:rPr>
          <w:sz w:val="22"/>
        </w:rPr>
        <w:t xml:space="preserve">6.5 Watchlist Indicators and Trigger Events (Europe): Desk officers at Mission to the European Union, Avenue de Cortenbergh, Brussels will monitor legislative calendars, tariff schedule gazettes, and regulatory enforcement actions issued by European Council, European Commission College of Commissioners, Horizon Europe Pillar II Directorate. Any material change to Strategic Partnership Agreement (SPA), Horizon Europe Association Pillar II, and Schengen ETIAS Mobility triggers an immediate Level 1 and Level 2 retrieval refresh in the AIde-Mémoire system.</w:t>
      </w:r>
    </w:p>
    <w:p>
      <w:r>
        <w:rPr>
          <w:sz w:val="22"/>
        </w:rPr>
        <w:t xml:space="preserve">6.6 Document Governance &amp; Retrieval Attestation: Document ID GAC-MY-EU-006 | Author: Claire Beauchamp (Chief Briefing Coordinator, Europe Bilateral Relations) | Repository Folder: MyFiles | SharePoint Classification Column: Country = Europe | Search Managed Property: RefinableString100 = Europe | Verified 6-Page Briefing Dossier for Microsoft 365 Copilot Two-Level Retrieval Demo.</w:t>
      </w:r>
    </w:p>
    <w:sectPr/>
  </w:body>
</w:document>
</file>

<file path=docProps/app.xml><?xml version="1.0" encoding="utf-8"?>
<Properties xmlns="http://schemas.openxmlformats.org/officeDocument/2006/extended-properties" xmlns:vt="http://schemas.openxmlformats.org/officeDocument/2006/docPropsVTypes">
  <Application>Microsoft Office Word</Application>
  <Pages>6</Pages>
  <Company>Contoso Global Affairs</Company>
</Properties>
</file>

<file path=docProps/core.xml><?xml version="1.0" encoding="utf-8"?>
<cp:coreProperties xmlns:cp="http://schemas.openxmlformats.org/package/2006/metadata/core-properties" xmlns:dc="http://purl.org/dc/elements/1.1/" xmlns:dcterms="http://purl.org/dc/terms/" xmlns:xsi="http://www.w3.org/2001/XMLSchema-instance">
  <dc:title>Europe Ministerial Summit Aide-Mémoire &amp; Talking Points (Brussels / Strasbourg)</dc:title>
  <dc:subject>Analyst Working Draft — Bilateral Ministerial Preparation &amp; Horizon Europe</dc:subject>
  <dc:creator>Claire Beauchamp (Chief Briefing Coordinator, Europe Bilateral Relations)</dc:creator>
  <cp:keywords>Country:Europe;RefinableString100:Europe;Folder:MyFiles</cp:keywords>
  <dc:description>Country=Europe | RefinableString100=Europe | Folder=MyFiles | Strategic Partnership Agreement (SPA), Horizon Europe Association Pillar II, and Schengen ETIAS Mobility</dc:description>
  <cp:category>Europe</cp:category>
  <dcterms:created xsi:type="dcterms:W3CDTF">2026-10-20T09:00:00Z</dcterms:created>
  <dcterms:modified xsi:type="dcterms:W3CDTF">2026-10-24T10:00:00Z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untry">
    <vt:lpwstr>Europe</vt:lpwstr>
  </property>
  <property fmtid="{D5CDD505-2E9C-101B-9397-08002B2CF9AE}" pid="3" name="RefinableString100">
    <vt:lpwstr>Europe</vt:lpwstr>
  </property>
  <property fmtid="{D5CDD505-2E9C-101B-9397-08002B2CF9AE}" pid="4" name="RepositoryFolder">
    <vt:lpwstr>MyFiles</vt:lpwstr>
  </property>
  <property fmtid="{D5CDD505-2E9C-101B-9397-08002B2CF9AE}" pid="5" name="DocumentId">
    <vt:lpwstr>GAC-MY-EU-006</vt:lpwstr>
  </property>
</Properties>
</file>