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Title"/>
      </w:pPr>
      <w:r>
        <w:rPr>
          <w:b/>
          <w:sz w:val="32"/>
        </w:rPr>
        <w:t>US Bilateral Trade, USMCA Joint Review &amp; Section 301 Tariff Assessment</w:t>
      </w:r>
    </w:p>
    <w:p>
      <w:pPr>
        <w:pStyle w:val="Subtitle"/>
      </w:pPr>
      <w:r>
        <w:rPr>
          <w:i/>
          <w:sz w:val="24"/>
        </w:rPr>
        <w:t>Analyst Working Draft — USTR, Department of Commerce &amp; North American Supply Chains</w:t>
      </w:r>
    </w:p>
    <w:tbl>
      <w:tblPr>
        <w:tblBorders>
          <w:top w:val="single" w:sz="6" w:space="0" w:color="2F5597"/>
          <w:left w:val="single" w:sz="6" w:space="0" w:color="2F5597"/>
          <w:bottom w:val="single" w:sz="6" w:space="0" w:color="2F5597"/>
          <w:right w:val="single" w:sz="6" w:space="0" w:color="2F5597"/>
          <w:insideH w:val="single" w:sz="4" w:space="0" w:color="D9E2F3"/>
          <w:insideV w:val="single" w:sz="4" w:space="0" w:color="D9E2F3"/>
        </w:tblBorders>
      </w:tblPr>
      <w:tr>
        <w:tc>
          <w:p>
            <w:r>
              <w:rPr>
                <w:b/>
              </w:rPr>
              <w:t>Country (SharePoint Column)</w:t>
            </w:r>
          </w:p>
        </w:tc>
        <w:tc>
          <w:p>
            <w:r>
              <w:t>US</w:t>
            </w:r>
          </w:p>
        </w:tc>
      </w:tr>
      <w:tr>
        <w:tc>
          <w:p>
            <w:r>
              <w:rPr>
                <w:b/>
              </w:rPr>
              <w:t>Managed Property (RefinableString100)</w:t>
            </w:r>
          </w:p>
        </w:tc>
        <w:tc>
          <w:p>
            <w:r>
              <w:t>US</w:t>
            </w:r>
          </w:p>
        </w:tc>
      </w:tr>
      <w:tr>
        <w:tc>
          <w:p>
            <w:r>
              <w:rPr>
                <w:b/>
              </w:rPr>
              <w:t>Repository Folder</w:t>
            </w:r>
          </w:p>
        </w:tc>
        <w:tc>
          <w:p>
            <w:r>
              <w:t>MyFiles</w:t>
            </w:r>
          </w:p>
        </w:tc>
      </w:tr>
      <w:tr>
        <w:tc>
          <w:p>
            <w:r>
              <w:rPr>
                <w:b/>
              </w:rPr>
              <w:t>Document ID</w:t>
            </w:r>
          </w:p>
        </w:tc>
        <w:tc>
          <w:p>
            <w:r>
              <w:t>GAC-MY-US-001</w:t>
            </w:r>
          </w:p>
        </w:tc>
      </w:tr>
      <w:tr>
        <w:tc>
          <w:p>
            <w:r>
              <w:rPr>
                <w:b/>
              </w:rPr>
              <w:t>Lead Author / Unit</w:t>
            </w:r>
          </w:p>
        </w:tc>
        <w:tc>
          <w:p>
            <w:r>
              <w:t>David Harrington (Senior Trade Policy Officer, United States Bureau)</w:t>
            </w:r>
          </w:p>
        </w:tc>
      </w:tr>
      <w:tr>
        <w:tc>
          <w:p>
            <w:r>
              <w:rPr>
                <w:b/>
              </w:rPr>
              <w:t>Diplomatic Mission</w:t>
            </w:r>
          </w:p>
        </w:tc>
        <w:tc>
          <w:p>
            <w:r>
              <w:t>Embassy in Washington, D.C. (Pennsylvania Avenue NW)</w:t>
            </w:r>
          </w:p>
        </w:tc>
      </w:tr>
      <w:tr>
        <w:tc>
          <w:p>
            <w:r>
              <w:rPr>
                <w:b/>
              </w:rPr>
              <w:t>Key Counterpart Institutions</w:t>
            </w:r>
          </w:p>
        </w:tc>
        <w:tc>
          <w:p>
            <w:r>
              <w:t>Office of the United States Trade Representative (USTR), US Department of Commerce (ITA &amp; BIS), US International Trade Commission (USITC), CBP</w:t>
            </w:r>
          </w:p>
        </w:tc>
      </w:tr>
      <w:tr>
        <w:tc>
          <w:p>
            <w:r>
              <w:rPr>
                <w:b/>
              </w:rPr>
              <w:t>Flagship Policy Instrument</w:t>
            </w:r>
          </w:p>
        </w:tc>
        <w:tc>
          <w:p>
            <w:r>
              <w:t>United States-Mexico-Canada Agreement (USMCA / CUSMA) Article 34.7 Joint Review, Buy America Act (BAA), and Section 301 / Section 232 Trade Remedies</w:t>
            </w:r>
          </w:p>
        </w:tc>
      </w:tr>
      <w:tr>
        <w:tc>
          <w:p>
            <w:r>
              <w:rPr>
                <w:b/>
              </w:rPr>
              <w:t>SharePoint Target URL</w:t>
            </w:r>
          </w:p>
        </w:tc>
        <w:tc>
          <w:p>
            <w:r>
              <w:t>https://m365cpi50688407.sharepoint.com/sites/site2/Shared Documents/MyFiles/US_01_MyFiles_USMCA_Trade_Tariffs_And_Supply_Chain_Briefing.docx</w:t>
            </w:r>
          </w:p>
        </w:tc>
      </w:tr>
    </w:tbl>
    <w:p>
      <w:pPr>
        <w:pStyle w:val="Heading1"/>
      </w:pPr>
      <w:r>
        <w:rPr>
          <w:b/>
          <w:sz w:val="28"/>
        </w:rPr>
        <w:t>Page 1 — Executive Summary &amp; US Jurisdictional Mandate</w:t>
      </w:r>
    </w:p>
    <w:p>
      <w:r>
        <w:rPr>
          <w:sz w:val="22"/>
        </w:rPr>
        <w:t xml:space="preserve">DOCUMENT CLASSIFICATION METADATA — COUNTRY: US | MANAGED PROPERTY: RefinableString100=US | REPOSITORY FOLDER: MyFiles | DOCUMENT ID: GAC-MY-US-001</w:t>
      </w:r>
    </w:p>
    <w:p>
      <w:r>
        <w:rPr>
          <w:sz w:val="22"/>
        </w:rPr>
        <w:t xml:space="preserve">1.1 Executive Mandate and Jurisdictional Scope (US): This Analyst Working Briefing &amp; Operational Memo (MyFiles Personal/Team Workspace) provides an authoritative, multi-page assessment exclusively scoped to US. Within the Two-Level Retrieval Architecture for Microsoft 365 Copilot Retrieval API, this document is governed under the SharePoint library column Country = 'US' (mapped in the SharePoint Search Schema to the queryable managed property RefinableString100 = 'US') and stored inside the 'MyFiles' folder on SharePoint site2 (https://m365cpi50688407.sharepoint.com/sites/site2/Shared Documents/MyFiles/US_01_MyFiles_USMCA_Trade_Tariffs_And_Supply_Chain_Briefing.docx).</w:t>
      </w:r>
    </w:p>
    <w:p>
      <w:r>
        <w:rPr>
          <w:sz w:val="22"/>
        </w:rPr>
        <w:t xml:space="preserve">1.2 Lead Diplomatic Mission and Institutional Counterparts in US: Primary operational coordination is led by Embassy in Washington, D.C. (Pennsylvania Avenue NW), engaging directly with Office of the United States Trade Representative (USTR), US Department of Commerce (ITA &amp; BIS), US International Trade Commission (USITC), CBP. All policy recommendations, briefing talking points, and risk assessments in this dossier apply strictly to the US bilateral and multilateral theatre.</w:t>
      </w:r>
    </w:p>
    <w:p>
      <w:r>
        <w:rPr>
          <w:sz w:val="22"/>
        </w:rPr>
        <w:t xml:space="preserve">1.3 Flagship Regulatory and Policy Anchor (US): The central policy instrument governing current engagement with US is United States-Mexico-Canada Agreement (USMCA / CUSMA) Article 34.7 Joint Review, Buy America Act (BAA), and Section 301 / Section 232 Trade Remedies. Senior officials and briefing analysts preparing ministerial aide-mémoires for US must anchor all commercial, technological, and security assessments in the compliance milestones established by Office of the United States Trade Representative (USTR), US Department of Commerce (ITA &amp; BIS), US International Trade Commission (USITC), CBP.</w:t>
      </w:r>
    </w:p>
    <w:p>
      <w:r>
        <w:rPr>
          <w:sz w:val="22"/>
        </w:rPr>
        <w:t xml:space="preserve">1.4 Summary of Strategic Indicators for US: Bilateral commercial volume and strategic exposure are characterized by USD 960 billion annual bilateral goods and services trade ($2.6 billion daily cross-border commerce across Detroit-Windsor, Buffalo-Fort Erie, and Pacific Highway corridors). Across the 2026–2028 planning horizon, departmental priorities for US center on safeguarding supply chain resilience, aligning clean energy and digital standards, and executing the deliverables defined for Washington Free Trade Commission (FTC) Joint Statement on USMCA 2026 review readiness, border pre-clearance expansion, and critical supply chain early-warning mechanism.</w:t>
      </w:r>
    </w:p>
    <w:p>
      <w:r>
        <w:rPr>
          <w:sz w:val="22"/>
        </w:rPr>
        <w:t xml:space="preserve">1.5 Two-Level Retrieval Verification Marker (US / MyFiles): When a user selects 'US' in the conversational webchat interface, Level 1 deterministic filtering narrows the SharePoint candidate document set to files tagged with Country='US' (RefinableString100:'US'). Level 2 semantic retrieval then extracts grounded passages exclusively from the confirmed US file paths, ensuring zero cross-contamination from other jurisdictions.</w:t>
      </w:r>
    </w:p>
    <w:p>
      <w:r>
        <w:rPr>
          <w:sz w:val="22"/>
        </w:rPr>
        <w:t xml:space="preserve">1.6 Departmental Governance and Quality Assurance (US): In accordance with the AIde-Mémoire Architecture Design Document v2.0 (Section 8.1), all source materials inside MyFiles classified under Country='US' undergo mandatory metadata verification prior to briefing synthesis. The delegated Microsoft Graph token enforces SharePoint item-level security trimming while preserving strict country-boundary isolation for US throughout both retrieval stages.</w:t>
      </w:r>
    </w:p>
    <w:p>
      <w:r>
        <w:rPr>
          <w:sz w:val="22"/>
        </w:rPr>
        <w:t xml:space="preserve">1.7 Comparative Baseline and Analytical Scope (US): Briefing officers consulting this US document should cross-reference the statistical annexes maintained by Office of the United States Trade Representative (USTR), US Department of Commerce (ITA &amp; BIS), US International Trade Commission (USITC), CBP and the operational cables transmitted by Embassy in Washington, D.C. (Pennsylvania Avenue NW). Key performance indicators tracked across pages 2 through 6 include tariff schedules, clean energy capacity additions, AI conformity deadlines, critical mineral refining shares, and ministerial summit deliverables specific to US.</w:t>
      </w:r>
    </w:p>
    <w:p>
      <w:r>
        <w:br w:type="page"/>
      </w:r>
    </w:p>
    <w:p>
      <w:pPr>
        <w:pStyle w:val="Heading1"/>
      </w:pPr>
      <w:r>
        <w:rPr>
          <w:b/>
          <w:sz w:val="28"/>
        </w:rPr>
        <w:t>Page 2 — US Bilateral Trade, Tariffs &amp; Market Access Analysis</w:t>
      </w:r>
    </w:p>
    <w:p>
      <w:r>
        <w:rPr>
          <w:sz w:val="22"/>
        </w:rPr>
        <w:t xml:space="preserve">2.1 Bilateral Trade Architecture, Tariff Schedules, and Market Access in US: Economic and commercial relations with US are currently shaped by United States-Mexico-Canada Agreement (USMCA / CUSMA) Article 34.7 Joint Review, Buy America Act (BAA), and Section 301 / Section 232 Trade Remedies. Quantitative trade tracking confirms USD 960 billion annual bilateral goods and services trade ($2.6 billion daily cross-border commerce across Detroit-Windsor, Buffalo-Fort Erie, and Pacific Highway corridors). Customs authorities and trade negotiators interacting with Office of the United States Trade Representative (USTR), US Department of Commerce (ITA &amp; BIS), US International Trade Commission (USITC), CBP have prioritized predictable rules of origin, tariff rate quota transparency, and dispute avoidance mechanisms specific to US.</w:t>
      </w:r>
    </w:p>
    <w:p>
      <w:r>
        <w:rPr>
          <w:sz w:val="22"/>
        </w:rPr>
        <w:t xml:space="preserve">2.2 Sectoral Tariff Exposure and Industrial Competitiveness (US): In the US market, industrial exporters face evolving regulatory compliance requirements tied to border adjustments, technical standards, and domestic industrial incentives. Specifically, USMCA 75% Regional Value Content (RVC) automotive rules of origin, softwood lumber countervailing duty litigation, and agricultural dairy TRQ administration represents the primary operational bottleneck requiring coordinated intervention by Embassy in Washington, D.C. (Pennsylvania Avenue NW).</w:t>
      </w:r>
    </w:p>
    <w:p>
      <w:r>
        <w:rPr>
          <w:sz w:val="22"/>
        </w:rPr>
        <w:t xml:space="preserve">2.3 Customs Digitization and Border Facilitation (US): Trade compliance workflows with US increasingly rely on USMCA Chapter 19 Digital Trade prohibitions on customs duties for digital products and CBP ACE Single Window automation. Exporters and logistics operators routing cargo into US must submit verified electronic declarations demonstrating adherence to US statutory standards, carbon accounting methodologies, and supply-chain origin audits.</w:t>
      </w:r>
    </w:p>
    <w:p>
      <w:r>
        <w:rPr>
          <w:sz w:val="22"/>
        </w:rPr>
        <w:t xml:space="preserve">2.4 Foreign Direct Investment (FDI) and Outbound/Inbound Screening (US): Capital flows between domestic enterprises and US counterparties are subject to heightened scrutiny under CFIUS (Committee on Foreign Investment in the United States) outbound and inbound investment screening and Defense Production Act (DPA) Title III. Legal and commercial teams evaluating joint ventures, greenfield facilities, or technology licensing in US must complete pre-transaction assessments covering national security review thresholds and subsidy disclosure rules enforced by Office of the United States Trade Representative (USTR), US Department of Commerce (ITA &amp; BIS), US International Trade Commission (USITC), CBP.</w:t>
      </w:r>
    </w:p>
    <w:p>
      <w:r>
        <w:rPr>
          <w:sz w:val="22"/>
        </w:rPr>
        <w:t xml:space="preserve">2.5 Commercial Policy Recommendations for US: (a) Establish a dedicated bilateral technical working group with Office of the United States Trade Representative (USTR), US Department of Commerce (ITA &amp; BIS), US International Trade Commission (USITC), CBP to resolve customs and conformity assessment friction; (b) publish updated sector guidance for SMEs exporting to US under United States-Mexico-Canada Agreement (USMCA / CUSMA) Article 34.7 Joint Review, Buy America Act (BAA), and Section 301 / Section 232 Trade Remedies; and (c) advance the trade deliverables scheduled for Washington Free Trade Commission (FTC) Joint Statement on USMCA 2026 review readiness, border pre-clearance expansion, and critical supply chain early-warning mechanism.</w:t>
      </w:r>
    </w:p>
    <w:p>
      <w:r>
        <w:rPr>
          <w:sz w:val="22"/>
        </w:rPr>
        <w:t xml:space="preserve">2.6 Non-Tariff Barriers, Sanitary/Phytosanitary Standards, and Technical Regulations (US): Beyond headline customs duties, market access into US depends on conformity with product safety, environmental labeling, and sector-specific certification regimes administered by Office of the United States Trade Representative (USTR), US Department of Commerce (ITA &amp; BIS), US International Trade Commission (USITC), CBP. Commercial attachés at Embassy in Washington, D.C. (Pennsylvania Avenue NW) conduct bi-weekly regulatory horizon scanning to prevent shipment holds at primary US ports of entry.</w:t>
      </w:r>
    </w:p>
    <w:p>
      <w:r>
        <w:rPr>
          <w:sz w:val="22"/>
        </w:rPr>
        <w:t xml:space="preserve">2.7 Bilateral Trade Dispute Resolution and Institutional Mechanisms (US): Where divergent interpretations arise under United States-Mexico-Canada Agreement (USMCA / CUSMA) Article 34.7 Joint Review, Buy America Act (BAA), and Section 301 / Section 232 Trade Remedies, structured consultations through the relevant bilateral trade committees provide an early-resolution channel prior to formal arbitral or multilateral proceedings. All evidentiary submissions for US trade reviews are indexed under Country='US' (RefinableString100='US').</w:t>
      </w:r>
    </w:p>
    <w:p>
      <w:r>
        <w:br w:type="page"/>
      </w:r>
    </w:p>
    <w:p>
      <w:pPr>
        <w:pStyle w:val="Heading1"/>
      </w:pPr>
      <w:r>
        <w:rPr>
          <w:b/>
          <w:sz w:val="28"/>
        </w:rPr>
        <w:t>Page 3 — US Clean Energy Transition &amp; Critical Minerals Strategy</w:t>
      </w:r>
    </w:p>
    <w:p>
      <w:r>
        <w:rPr>
          <w:sz w:val="22"/>
        </w:rPr>
        <w:t xml:space="preserve">3.1 Clean Energy Transition, Decarbonization Policies, and Grid Infrastructure in US: Energy security and net-zero industrial transformation form a cornerstone of engagement with US. Under North American Cross-Border Electricity Transmission &amp; Keystone/Enbridge Energy Security Corridor, US has accelerated capital deployment into renewable power generation, clean hydrogen infrastructure, and industrial electrification overseen by Office of the United States Trade Representative (USTR), US Department of Commerce (ITA &amp; BIS), US International Trade Commission (USITC), CBP.</w:t>
      </w:r>
    </w:p>
    <w:p>
      <w:r>
        <w:rPr>
          <w:sz w:val="22"/>
        </w:rPr>
        <w:t xml:space="preserve">3.2 Carbon Pricing, Emissions Trading, and Clean Tech Subsidies (US): Industrial decarbonization in US is reinforced through statutory carbon pricing and targeted fiscal instruments linked to United States-Mexico-Canada Agreement (USMCA / CUSMA) Article 34.7 Joint Review, Buy America Act (BAA), and Section 301 / Section 232 Trade Remedies. As documented in recent economic filings (USD 960 billion annual bilateral goods and services trade ($2.6 billion daily cross-border commerce across Detroit-Windsor, Buffalo-Fort Erie, and Pacific Highway corridors)), energy-intensive manufacturers operating in or exporting to US must account for embedded lifecycle emissions, verified clean power purchase agreements, and certified low-carbon fuel standards.</w:t>
      </w:r>
    </w:p>
    <w:p>
      <w:r>
        <w:rPr>
          <w:sz w:val="22"/>
        </w:rPr>
        <w:t xml:space="preserve">3.3 Critical Minerals, Battery Value Chains, and Refining Capacity (US): Securing resilient upstream and midstream mineral supply chains is directly tied to USMCA 75% Regional Value Content (RVC) automotive rules of origin, softwood lumber countervailing duty litigation, and agricultural dairy TRQ administration. Within the US jurisdiction, policy measures prioritize domestic and allied processing capacity for lithium, nickel, cobalt, battery-grade graphite, and rare earth permanent magnets required for electric vehicles and grid storage.</w:t>
      </w:r>
    </w:p>
    <w:p>
      <w:r>
        <w:rPr>
          <w:sz w:val="22"/>
        </w:rPr>
        <w:t xml:space="preserve">3.4 Cross-Border Energy Corridors and Clean Fuel Certification (US): Bilateral technical teams led by Embassy in Washington, D.C. (Pennsylvania Avenue NW) are advancing mutual recognition of guarantee-of-origin certificates, carbon intensity accounting, and clean fuel logistics under North American Cross-Border Electricity Transmission &amp; Keystone/Enbridge Energy Security Corridor. Harmonizing verification protocols with Office of the United States Trade Representative (USTR), US Department of Commerce (ITA &amp; BIS), US International Trade Commission (USITC), CBP prevents duplicative testing and unlocks long-term offtake financing.</w:t>
      </w:r>
    </w:p>
    <w:p>
      <w:r>
        <w:rPr>
          <w:sz w:val="22"/>
        </w:rPr>
        <w:t xml:space="preserve">3.5 Energy &amp; Climate Action Plan for US: Priority actions for the upcoming quarter include finalizing clean energy technical annexes under Washington Free Trade Commission (FTC) Joint Statement on USMCA 2026 review readiness, border pre-clearance expansion, and critical supply chain early-warning mechanism, aligning sustainable finance taxonomies with US regulators, and expanding joint R&amp;D on grid resilience and next-generation nuclear/storage technologies.</w:t>
      </w:r>
    </w:p>
    <w:p>
      <w:r>
        <w:rPr>
          <w:sz w:val="22"/>
        </w:rPr>
        <w:t xml:space="preserve">3.6 Industrial Electrification and Green Manufacturing Benchmarks (US): Heavy industry transition plans across US require deep integration between zero-emission baseload generation, grid-scale battery storage, and green hydrogen feedstocks. Project developers engaging with Office of the United States Trade Representative (USTR), US Department of Commerce (ITA &amp; BIS), US International Trade Commission (USITC), CBP under North American Cross-Border Electricity Transmission &amp; Keystone/Enbridge Energy Security Corridor must satisfy stringent lifecycle greenhouse gas reduction thresholds and domestic content or diversification benchmarks.</w:t>
      </w:r>
    </w:p>
    <w:p>
      <w:r>
        <w:rPr>
          <w:sz w:val="22"/>
        </w:rPr>
        <w:t xml:space="preserve">3.7 Climate Finance, Green Bonds, and Transition Taxonomy Alignment (US): Institutional investors financing decarbonization projects in US rely on standardized climate disclosure and taxonomy frameworks overseen by Office of the United States Trade Representative (USTR), US Department of Commerce (ITA &amp; BIS), US International Trade Commission (USITC), CBP. Aligning bilateral export credit and project finance guarantees with US sustainability standards remains a key deliverable under Washington Free Trade Commission (FTC) Joint Statement on USMCA 2026 review readiness, border pre-clearance expansion, and critical supply chain early-warning mechanism.</w:t>
      </w:r>
    </w:p>
    <w:p>
      <w:r>
        <w:br w:type="page"/>
      </w:r>
    </w:p>
    <w:p>
      <w:pPr>
        <w:pStyle w:val="Heading1"/>
      </w:pPr>
      <w:r>
        <w:rPr>
          <w:b/>
          <w:sz w:val="28"/>
        </w:rPr>
        <w:t>Page 4 — US AI Governance, Digital Sovereignty &amp; Cyber Regulation</w:t>
      </w:r>
    </w:p>
    <w:p>
      <w:r>
        <w:rPr>
          <w:sz w:val="22"/>
        </w:rPr>
        <w:t xml:space="preserve">4.1 Artificial Intelligence Governance, Digital Sovereignty, and Data Regulation in US: The digital regulatory landscape in US is defined by USMCA Chapter 19 Digital Trade prohibitions on customs duties for digital products and CBP ACE Single Window automation and enforced by Office of the United States Trade Representative (USTR), US Department of Commerce (ITA &amp; BIS), US International Trade Commission (USITC), CBP. Organizations deploying foundation models, high-risk AI systems, or cloud infrastructure in US must comply with mandatory risk classifications, algorithmic transparency obligations, and post-market monitoring.</w:t>
      </w:r>
    </w:p>
    <w:p>
      <w:r>
        <w:rPr>
          <w:sz w:val="22"/>
        </w:rPr>
        <w:t xml:space="preserve">4.2 Cross-Border Data Flows, Privacy Compliance, and Localization Rules (US): Data governance under United States-Mexico-Canada Agreement (USMCA / CUSMA) Article 34.7 Joint Review, Buy America Act (BAA), and Section 301 / Section 232 Trade Remedies establishes strict legal mechanisms for international data transfers involving US. Enterprises operating across US must maintain validated transfer instruments, privacy impact assessments, and cybersecurity safeguards aligned with CFIUS (Committee on Foreign Investment in the United States) outbound and inbound investment screening and Defense Production Act (DPA) Title III.</w:t>
      </w:r>
    </w:p>
    <w:p>
      <w:r>
        <w:rPr>
          <w:sz w:val="22"/>
        </w:rPr>
        <w:t xml:space="preserve">4.3 Semiconductor Ecosystems, High-Performance Computing, and Quantum Research (US): Technological competitiveness in US is anchored by strategic investments in advanced microelectronics, AI compute infrastructure, and quantum technologies (USMCA Chapter 19 Digital Trade prohibitions on customs duties for digital products and CBP ACE Single Window automation). Supply-chain coordination focusing on USMCA 75% Regional Value Content (RVC) automotive rules of origin, softwood lumber countervailing duty litigation, and agricultural dairy TRQ administration is essential to mitigate fabrication bottlenecks and export control disruptions.</w:t>
      </w:r>
    </w:p>
    <w:p>
      <w:r>
        <w:rPr>
          <w:sz w:val="22"/>
        </w:rPr>
        <w:t xml:space="preserve">4.4 Cybersecurity Standards and Critical Infrastructure Protection (US): Under CFIUS (Committee on Foreign Investment in the United States) outbound and inbound investment screening and Defense Production Act (DPA) Title III, US authorities require rapid incident reporting, software bill of materials (SBOM) attestation, and hardware supply-chain integrity across telecommunications, financial services, energy grids, and government networks.</w:t>
      </w:r>
    </w:p>
    <w:p>
      <w:r>
        <w:rPr>
          <w:sz w:val="22"/>
        </w:rPr>
        <w:t xml:space="preserve">4.5 Digital &amp; AI Policy Directives for US: Analysts preparing briefing materials for US should highlight regulatory interoperability opportunities between domestic AI safety institutes and Office of the United States Trade Representative (USTR), US Department of Commerce (ITA &amp; BIS), US International Trade Commission (USITC), CBP, while tracking compliance deadlines under United States-Mexico-Canada Agreement (USMCA / CUSMA) Article 34.7 Joint Review, Buy America Act (BAA), and Section 301 / Section 232 Trade Remedies.</w:t>
      </w:r>
    </w:p>
    <w:p>
      <w:r>
        <w:rPr>
          <w:sz w:val="22"/>
        </w:rPr>
        <w:t xml:space="preserve">4.6 Frontier AI Model Evaluation, Red-Teaming, and Algorithmic Auditing (US): Technical standards bodies in US (Office of the United States Trade Representative (USTR), US Department of Commerce (ITA &amp; BIS), US International Trade Commission (USITC), CBP) have instituted structured evaluation protocols for general-purpose and frontier AI models covering systemic safety, cybersecurity resilience, synthetic content provenance, and copyright transparency under USMCA Chapter 19 Digital Trade prohibitions on customs duties for digital products and CBP ACE Single Window automation.</w:t>
      </w:r>
    </w:p>
    <w:p>
      <w:r>
        <w:rPr>
          <w:sz w:val="22"/>
        </w:rPr>
        <w:t xml:space="preserve">4.7 Digital Public Infrastructure, Cloud Sovereignty, and Quantum Readiness (US): Public-sector cloud procurement and digital identity ecosystems in US increasingly mandate cryptographic agility, post-quantum migration roadmaps, and operational resilience verified by Office of the United States Trade Representative (USTR), US Department of Commerce (ITA &amp; BIS), US International Trade Commission (USITC), CBP. Bilateral science and technology cooperation is coordinated through Embassy in Washington, D.C. (Pennsylvania Avenue NW).</w:t>
      </w:r>
    </w:p>
    <w:p>
      <w:r>
        <w:br w:type="page"/>
      </w:r>
    </w:p>
    <w:p>
      <w:pPr>
        <w:pStyle w:val="Heading1"/>
      </w:pPr>
      <w:r>
        <w:rPr>
          <w:b/>
          <w:sz w:val="28"/>
        </w:rPr>
        <w:t>Page 5 — US Strategic Security, Supply Chains &amp; Export Controls</w:t>
      </w:r>
    </w:p>
    <w:p>
      <w:r>
        <w:rPr>
          <w:sz w:val="22"/>
        </w:rPr>
        <w:t xml:space="preserve">5.1 Strategic Security Posture, Economic Resilience, and Geopolitical Risk in US: The broader security and resilience environment in US is governed by CFIUS (Committee on Foreign Investment in the United States) outbound and inbound investment screening and Defense Production Act (DPA) Title III. Assessments coordinated through Embassy in Washington, D.C. (Pennsylvania Avenue NW) emphasize the close linkage between national security, critical infrastructure protection, and economic de-risking across the US theatre.</w:t>
      </w:r>
    </w:p>
    <w:p>
      <w:r>
        <w:rPr>
          <w:sz w:val="22"/>
        </w:rPr>
        <w:t xml:space="preserve">5.2 Critical Supply Chain Vulnerabilities and De-Risking Measures (US): Detailed supply-chain mapping for US identifies high-priority dependencies in USMCA 75% Regional Value Content (RVC) automotive rules of origin, softwood lumber countervailing duty litigation, and agricultural dairy TRQ administration. In partnership with Office of the United States Trade Representative (USTR), US Department of Commerce (ITA &amp; BIS), US International Trade Commission (USITC), CBP, contingency protocols have been established to monitor chokepoints, diversify supplier concentration, and maintain strategic buffer inventories.</w:t>
      </w:r>
    </w:p>
    <w:p>
      <w:r>
        <w:rPr>
          <w:sz w:val="22"/>
        </w:rPr>
        <w:t xml:space="preserve">5.3 Export Controls, Sanctions Enforcement, and Dual-Use Technology Screening (US): Compliance with dual-use export control regimes and multilateral restrictive measures is a top operational priority when engaging with US. Regulatory authorities (Office of the United States Trade Representative (USTR), US Department of Commerce (ITA &amp; BIS), US International Trade Commission (USITC), CBP) enforce rigorous end-user verification, intangible technology transfer controls, and financial screening tied to United States-Mexico-Canada Agreement (USMCA / CUSMA) Article 34.7 Joint Review, Buy America Act (BAA), and Section 301 / Section 232 Trade Remedies.</w:t>
      </w:r>
    </w:p>
    <w:p>
      <w:r>
        <w:rPr>
          <w:sz w:val="22"/>
        </w:rPr>
        <w:t xml:space="preserve">5.4 Infrastructure Resilience and Crisis Response Mechanisms (US): Joint preparedness exercises and early-warning consultations in US address maritime logistics security, subsea cable and pipeline protection, cyber threat intelligence sharing, and emergency supply-chain coordination under CFIUS (Committee on Foreign Investment in the United States) outbound and inbound investment screening and Defense Production Act (DPA) Title III.</w:t>
      </w:r>
    </w:p>
    <w:p>
      <w:r>
        <w:rPr>
          <w:sz w:val="22"/>
        </w:rPr>
        <w:t xml:space="preserve">5.5 Risk Mitigation Matrix for US: Senior decision-makers reviewing US files from the MyFiles repository must weigh macroeconomic exposure (USD 960 billion annual bilateral goods and services trade ($2.6 billion daily cross-border commerce across Detroit-Windsor, Buffalo-Fort Erie, and Pacific Highway corridors)) against regulatory shifts in United States-Mexico-Canada Agreement (USMCA / CUSMA) Article 34.7 Joint Review, Buy America Act (BAA), and Section 301 / Section 232 Trade Remedies, ensuring all bilateral commitments include verifiable safeguard clauses.</w:t>
      </w:r>
    </w:p>
    <w:p>
      <w:r>
        <w:rPr>
          <w:sz w:val="22"/>
        </w:rPr>
        <w:t xml:space="preserve">5.6 Research Security, Dual-Use Academic Collaboration, and IP Protection (US): Universities, national laboratories, and corporate R&amp;D centers collaborating with entities in US are subject to research security guidelines covering sensitive technology domains (USMCA Chapter 19 Digital Trade prohibitions on customs duties for digital products and CBP ACE Single Window automation). Vetting procedures coordinated with Office of the United States Trade Representative (USTR), US Department of Commerce (ITA &amp; BIS), US International Trade Commission (USITC), CBP protect intellectual property while preserving open scientific exchange where appropriate.</w:t>
      </w:r>
    </w:p>
    <w:p>
      <w:r>
        <w:rPr>
          <w:sz w:val="22"/>
        </w:rPr>
        <w:t xml:space="preserve">5.7 Maritime, Aviation, and Multimodal Logistics Security (US): Freight corridors linking domestic ports and air cargo hubs with US require continuous customs-security coordination, advance cargo manifest screening, and resilience planning around USMCA 75% Regional Value Content (RVC) automotive rules of origin, softwood lumber countervailing duty litigation, and agricultural dairy TRQ administration.</w:t>
      </w:r>
    </w:p>
    <w:p>
      <w:r>
        <w:br w:type="page"/>
      </w:r>
    </w:p>
    <w:p>
      <w:pPr>
        <w:pStyle w:val="Heading1"/>
      </w:pPr>
      <w:r>
        <w:rPr>
          <w:b/>
          <w:sz w:val="28"/>
        </w:rPr>
        <w:t>Page 6 — US Ministerial Summit Talking Points &amp; 2026 Deliverables</w:t>
      </w:r>
    </w:p>
    <w:p>
      <w:r>
        <w:rPr>
          <w:sz w:val="22"/>
        </w:rPr>
        <w:t xml:space="preserve">6.1 Ministerial Summit Objectives, Diplomatic Talking Points, and Deliverables (US): In preparation for upcoming high-level engagements led by Embassy in Washington, D.C. (Pennsylvania Avenue NW), the primary diplomatic objective for US is Washington Free Trade Commission (FTC) Joint Statement on USMCA 2026 review readiness, border pre-clearance expansion, and critical supply chain early-warning mechanism. Briefing packages compiled by David Harrington (Senior Trade Policy Officer, United States Bureau) synthesize inputs from trade, energy, digital, and security divisions.</w:t>
      </w:r>
    </w:p>
    <w:p>
      <w:r>
        <w:rPr>
          <w:sz w:val="22"/>
        </w:rPr>
        <w:t xml:space="preserve">6.2 Core Ministerial Talking Points for US Counterparts (Office of the United States Trade Representative (USTR), US Department of Commerce (ITA &amp; BIS), US International Trade Commission (USITC), CBP): (1) Reaffirm commitment to rules-based bilateral trade and transparent market access across US (USD 960 billion annual bilateral goods and services trade ($2.6 billion daily cross-border commerce across Detroit-Windsor, Buffalo-Fort Erie, and Pacific Highway corridors)); (2) Advance practical regulatory alignment on United States-Mexico-Canada Agreement (USMCA / CUSMA) Article 34.7 Joint Review, Buy America Act (BAA), and Section 301 / Section 232 Trade Remedies to minimize unintended barriers for compliant industries; (3) Deepen clean energy and critical mineral collaboration through North American Cross-Border Electricity Transmission &amp; Keystone/Enbridge Energy Security Corridor and USMCA 75% Regional Value Content (RVC) automotive rules of origin, softwood lumber countervailing duty litigation, and agricultural dairy TRQ administration; and (4) Strengthen digital trust, AI safety interoperability, and infrastructure resilience under USMCA Chapter 19 Digital Trade prohibitions on customs duties for digital products and CBP ACE Single Window automation and CFIUS (Committee on Foreign Investment in the United States) outbound and inbound investment screening and Defense Production Act (DPA) Title III.</w:t>
      </w:r>
    </w:p>
    <w:p>
      <w:r>
        <w:rPr>
          <w:sz w:val="22"/>
        </w:rPr>
        <w:t xml:space="preserve">6.3 Interdepartmental Coordination and Stakeholder Consultations (US): Domestic industry associations, provincial/regional representatives, and research institutions have been consulted regarding US market conditions. Stakeholders strongly support the targeted outcomes outlined in Washington Free Trade Commission (FTC) Joint Statement on USMCA 2026 review readiness, border pre-clearance expansion, and critical supply chain early-warning mechanism and request timely guidance on United States-Mexico-Canada Agreement (USMCA / CUSMA) Article 34.7 Joint Review, Buy America Act (BAA), and Section 301 / Section 232 Trade Remedies.</w:t>
      </w:r>
    </w:p>
    <w:p>
      <w:r>
        <w:rPr>
          <w:sz w:val="22"/>
        </w:rPr>
        <w:t xml:space="preserve">6.4 Implementation Timeline and Next Steps (2026–2027) for US: Q1–Q2: Technical working group sessions with Office of the United States Trade Representative (USTR), US Department of Commerce (ITA &amp; BIS), US International Trade Commission (USITC), CBP on customs, AI governance, and clean energy standards. Q3: Mid-term review of supply chain resilience metrics (USMCA 75% Regional Value Content (RVC) automotive rules of origin, softwood lumber countervailing duty litigation, and agricultural dairy TRQ administration) and bilateral investment flows. Q4: Ministerial summit execution and formal adoption of Washington Free Trade Commission (FTC) Joint Statement on USMCA 2026 review readiness, border pre-clearance expansion, and critical supply chain early-warning mechanism.</w:t>
      </w:r>
    </w:p>
    <w:p>
      <w:r>
        <w:rPr>
          <w:sz w:val="22"/>
        </w:rPr>
        <w:t xml:space="preserve">6.5 Watchlist Indicators and Trigger Events (US): Desk officers at Embassy in Washington, D.C. (Pennsylvania Avenue NW) will monitor legislative calendars, tariff schedule gazettes, and regulatory enforcement actions issued by Office of the United States Trade Representative (USTR), US Department of Commerce (ITA &amp; BIS), US International Trade Commission (USITC), CBP. Any material change to United States-Mexico-Canada Agreement (USMCA / CUSMA) Article 34.7 Joint Review, Buy America Act (BAA), and Section 301 / Section 232 Trade Remedies triggers an immediate Level 1 and Level 2 retrieval refresh in the AIde-Mémoire system.</w:t>
      </w:r>
    </w:p>
    <w:p>
      <w:r>
        <w:rPr>
          <w:sz w:val="22"/>
        </w:rPr>
        <w:t xml:space="preserve">6.6 Document Governance &amp; Retrieval Attestation: Document ID GAC-MY-US-001 | Author: David Harrington (Senior Trade Policy Officer, United States Bureau) | Repository Folder: MyFiles | SharePoint Classification Column: Country = US | Search Managed Property: RefinableString100 = US | Verified 6-Page Briefing Dossier for Microsoft 365 Copilot Two-Level Retrieval Demo.</w:t>
      </w:r>
    </w:p>
    <w:sectPr/>
  </w:body>
</w:document>
</file>

<file path=docProps/app.xml><?xml version="1.0" encoding="utf-8"?>
<Properties xmlns="http://schemas.openxmlformats.org/officeDocument/2006/extended-properties" xmlns:vt="http://schemas.openxmlformats.org/officeDocument/2006/docPropsVTypes">
  <Application>Microsoft Office Word</Application>
  <Pages>6</Pages>
  <Company>Contoso Global Affairs</Company>
</Properties>
</file>

<file path=docProps/core.xml><?xml version="1.0" encoding="utf-8"?>
<cp:coreProperties xmlns:cp="http://schemas.openxmlformats.org/package/2006/metadata/core-properties" xmlns:dc="http://purl.org/dc/elements/1.1/" xmlns:dcterms="http://purl.org/dc/terms/" xmlns:xsi="http://www.w3.org/2001/XMLSchema-instance">
  <dc:title>US Bilateral Trade, USMCA Joint Review &amp; Section 301 Tariff Assessment</dc:title>
  <dc:subject>Analyst Working Draft — USTR, Department of Commerce &amp; North American Supply Chains</dc:subject>
  <dc:creator>David Harrington (Senior Trade Policy Officer, United States Bureau)</dc:creator>
  <cp:keywords>Country:US;RefinableString100:US;Folder:MyFiles</cp:keywords>
  <dc:description>Country=US | RefinableString100=US | Folder=MyFiles | United States-Mexico-Canada Agreement (USMCA / CUSMA) Article 34.7 Joint Review, Buy America Act (BAA), and Section 301 / Section 232 Trade Remedies</dc:description>
  <cp:category>US</cp:category>
  <dcterms:created xsi:type="dcterms:W3CDTF">2026-10-20T09:00:00Z</dcterms:created>
  <dcterms:modified xsi:type="dcterms:W3CDTF">2026-10-24T10:00:00Z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ntry">
    <vt:lpwstr>US</vt:lpwstr>
  </property>
  <property fmtid="{D5CDD505-2E9C-101B-9397-08002B2CF9AE}" pid="3" name="RefinableString100">
    <vt:lpwstr>US</vt:lpwstr>
  </property>
  <property fmtid="{D5CDD505-2E9C-101B-9397-08002B2CF9AE}" pid="4" name="RepositoryFolder">
    <vt:lpwstr>MyFiles</vt:lpwstr>
  </property>
  <property fmtid="{D5CDD505-2E9C-101B-9397-08002B2CF9AE}" pid="5" name="DocumentId">
    <vt:lpwstr>GAC-MY-US-001</vt:lpwstr>
  </property>
</Properties>
</file>