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Institutional Policy Framework: CETA Trade &amp; Single Market Regulatory Alignment</w:t>
      </w:r>
    </w:p>
    <w:p>
      <w:pPr>
        <w:pStyle w:val="Subtitle"/>
      </w:pPr>
      <w:r>
        <w:rPr>
          <w:i/>
          <w:sz w:val="24"/>
        </w:rPr>
        <w:t>Departmental Reference Dossier — European Union Trade, Customs &amp; Regulatory Cooperation</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OrgFiles</w:t>
            </w:r>
          </w:p>
        </w:tc>
      </w:tr>
      <w:tr>
        <w:tc>
          <w:p>
            <w:r>
              <w:rPr>
                <w:b/>
              </w:rPr>
              <w:t>Document ID</w:t>
            </w:r>
          </w:p>
        </w:tc>
        <w:tc>
          <w:p>
            <w:r>
              <w:t>GAC-ORG-EU-101</w:t>
            </w:r>
          </w:p>
        </w:tc>
      </w:tr>
      <w:tr>
        <w:tc>
          <w:p>
            <w:r>
              <w:rPr>
                <w:b/>
              </w:rPr>
              <w:t>Lead Author / Unit</w:t>
            </w:r>
          </w:p>
        </w:tc>
        <w:tc>
          <w:p>
            <w:r>
              <w:t>Directorate-General for European Trade &amp; Economic Policy (OrgFiles Repository)</w:t>
            </w:r>
          </w:p>
        </w:tc>
      </w:tr>
      <w:tr>
        <w:tc>
          <w:p>
            <w:r>
              <w:rPr>
                <w:b/>
              </w:rPr>
              <w:t>Diplomatic Mission</w:t>
            </w:r>
          </w:p>
        </w:tc>
        <w:tc>
          <w:p>
            <w:r>
              <w:t>Global Affairs Departmental Headquarters &amp; EU Directorate (Brussels / Ottawa)</w:t>
            </w:r>
          </w:p>
        </w:tc>
      </w:tr>
      <w:tr>
        <w:tc>
          <w:p>
            <w:r>
              <w:rPr>
                <w:b/>
              </w:rPr>
              <w:t>Key Counterpart Institutions</w:t>
            </w:r>
          </w:p>
        </w:tc>
        <w:tc>
          <w:p>
            <w:r>
              <w:t>European Commission DG TRADE, European Council Trade Policy Committee, European Court of Justice, CEN/CENELEC</w:t>
            </w:r>
          </w:p>
        </w:tc>
      </w:tr>
      <w:tr>
        <w:tc>
          <w:p>
            <w:r>
              <w:rPr>
                <w:b/>
              </w:rPr>
              <w:t>Flagship Policy Instrument</w:t>
            </w:r>
          </w:p>
        </w:tc>
        <w:tc>
          <w:p>
            <w:r>
              <w:t>Comprehensive Economic and Trade Agreement (CETA), EU Carbon Border Adjustment Mechanism (CBAM) Definitive Regime (2026), and EU Deforestation Regulation (EUDR)</w:t>
            </w:r>
          </w:p>
        </w:tc>
      </w:tr>
      <w:tr>
        <w:tc>
          <w:p>
            <w:r>
              <w:rPr>
                <w:b/>
              </w:rPr>
              <w:t>SharePoint Target URL</w:t>
            </w:r>
          </w:p>
        </w:tc>
        <w:tc>
          <w:p>
            <w:r>
              <w:t>https://m365cpi50688407.sharepoint.com/sites/site2/Shared Documents/OrgFiles/EU_01_OrgFiles_European_Union_Comprehensive_Trade_Policy_Framework.docx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OrgFiles | DOCUMENT ID: GAC-ORG-EU-101</w:t>
      </w:r>
    </w:p>
    <w:p>
      <w:r>
        <w:rPr>
          <w:sz w:val="22"/>
        </w:rPr>
        <w:t xml:space="preserve">1.1 Executive Mandate and Jurisdictional Scope (Europe): This Official Departmental Policy Framework &amp; Institutional Dossier (OrgFiles Enterprise Library)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'OrgFiles' folder on SharePoint site2 (https://m365cpi50688407.sharepoint.com/sites/site2/Shared Documents/OrgFiles/EU_01_OrgFiles_European_Union_Comprehensive_Trade_Policy_Framework.docx).</w:t>
      </w:r>
    </w:p>
    <w:p>
      <w:r>
        <w:rPr>
          <w:sz w:val="22"/>
        </w:rPr>
        <w:t xml:space="preserve">1.2 Lead Diplomatic Mission and Institutional Counterparts in Europe: Primary operational coordination is led by Global Affairs Departmental Headquarters &amp; EU Directorate (Brussels / Ottawa), engaging directly with European Commission DG TRADE, European Council Trade Policy Committee, European Court of Justice, CEN/CENELEC.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Comprehensive Economic and Trade Agreement (CETA), EU Carbon Border Adjustment Mechanism (CBAM) Definitive Regime (2026), and EU Deforestation Regulation (EUDR). Senior officials and briefing analysts preparing ministerial aide-mémoires for Europe must anchor all commercial, technological, and security assessments in the compliance milestones established by European Commission DG TRADE, European Council Trade Policy Committee, European Court of Justice, CEN/CENELEC.</w:t>
      </w:r>
    </w:p>
    <w:p>
      <w:r>
        <w:rPr>
          <w:sz w:val="22"/>
        </w:rPr>
        <w:t xml:space="preserve">1.4 Summary of Strategic Indicators for Europe: Bilateral commercial volume and strategic exposure are characterized by EUR 124.8 billion total bilateral trade; 98.6% of EU tariff lines duty-free; EUR 14.5 billion services trade surplus in financial, engineering, and aviation sectors across Europe. Across the 2026–2028 planning horizon, departmental priorities for Europe center on safeguarding supply chain resilience, aligning clean energy and digital standards, and executing the deliverables defined for Institutional 5-Year CETA Regulatory Cooperation Forum Workplan and Joint Customs Cooperation Committee Decision.</w:t>
      </w:r>
    </w:p>
    <w:p>
      <w:r>
        <w:rPr>
          <w:sz w:val="22"/>
        </w:rPr>
        <w:t xml:space="preserve">1.5 Two-Level Retrieval Verification Marker (Europe / OrgFiles):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OrgFiles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European Commission DG TRADE, European Council Trade Policy Committee, European Court of Justice, CEN/CENELEC and the operational cables transmitted by Global Affairs Departmental Headquarters &amp; EU Directorate (Brussels / Ottawa).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Comprehensive Economic and Trade Agreement (CETA), EU Carbon Border Adjustment Mechanism (CBAM) Definitive Regime (2026), and EU Deforestation Regulation (EUDR). Quantitative trade tracking confirms EUR 124.8 billion total bilateral trade; 98.6% of EU tariff lines duty-free; EUR 14.5 billion services trade surplus in financial, engineering, and aviation sectors across Europe. Customs authorities and trade negotiators interacting with European Commission DG TRADE, European Council Trade Policy Committee, European Court of Justice, CEN/CENELEC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EUDR geolocation traceability for timber, cattle, soy, and paper entering European Union ports (Rotterdam, Hamburg, Antwerp, Marseille) represents the primary operational bottleneck requiring coordinated intervention by Global Affairs Departmental Headquarters &amp; EU Directorate (Brussels / Ottawa).</w:t>
      </w:r>
    </w:p>
    <w:p>
      <w:r>
        <w:rPr>
          <w:sz w:val="22"/>
        </w:rPr>
        <w:t xml:space="preserve">2.3 Customs Digitization and Border Facilitation (Europe): Trade compliance workflows with Europe increasingly rely on EU EIDAS 2.0 European Digital Identity Wallet and Mutual Recognition of Conformity Assessment (CETA Protocol on Conformity Assessment).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EU Anti-Coercion Instrument (Regulation (EU) 2023/2675) and Foreign Subsidies Regulation (FSR) M&amp;A notification thresholds. Legal and commercial teams evaluating joint ventures, greenfield facilities, or technology licensing in Europe must complete pre-transaction assessments covering national security review thresholds and subsidy disclosure rules enforced by European Commission DG TRADE, European Council Trade Policy Committee, European Court of Justice, CEN/CENELEC.</w:t>
      </w:r>
    </w:p>
    <w:p>
      <w:r>
        <w:rPr>
          <w:sz w:val="22"/>
        </w:rPr>
        <w:t xml:space="preserve">2.5 Commercial Policy Recommendations for Europe: (a) Establish a dedicated bilateral technical working group with European Commission DG TRADE, European Council Trade Policy Committee, European Court of Justice, CEN/CENELEC to resolve customs and conformity assessment friction; (b) publish updated sector guidance for SMEs exporting to Europe under Comprehensive Economic and Trade Agreement (CETA), EU Carbon Border Adjustment Mechanism (CBAM) Definitive Regime (2026), and EU Deforestation Regulation (EUDR); and (c) advance the trade deliverables scheduled for Institutional 5-Year CETA Regulatory Cooperation Forum Workplan and Joint Customs Cooperation Committee Decision.</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European Commission DG TRADE, European Council Trade Policy Committee, European Court of Justice, CEN/CENELEC. Commercial attachés at Global Affairs Departmental Headquarters &amp; EU Directorate (Brussels / Ottawa) conduct bi-weekly regulatory horizon scanning to prevent shipment holds at primary Europe ports of entry.</w:t>
      </w:r>
    </w:p>
    <w:p>
      <w:r>
        <w:rPr>
          <w:sz w:val="22"/>
        </w:rPr>
        <w:t xml:space="preserve">2.7 Bilateral Trade Dispute Resolution and Institutional Mechanisms (Europe): Where divergent interpretations arise under Comprehensive Economic and Trade Agreement (CETA), EU Carbon Border Adjustment Mechanism (CBAM) Definitive Regime (2026), and EU Deforestation Regulation (EUDR),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EU-Allied Clean Fuel Standard alignment and European Maritime FuelEU carbon intensity thresholds, Europe has accelerated capital deployment into renewable power generation, clean hydrogen infrastructure, and industrial electrification overseen by European Commission DG TRADE, European Council Trade Policy Committee, European Court of Justice, CEN/CENELEC.</w:t>
      </w:r>
    </w:p>
    <w:p>
      <w:r>
        <w:rPr>
          <w:sz w:val="22"/>
        </w:rPr>
        <w:t xml:space="preserve">3.2 Carbon Pricing, Emissions Trading, and Clean Tech Subsidies (Europe): Industrial decarbonization in Europe is reinforced through statutory carbon pricing and targeted fiscal instruments linked to Comprehensive Economic and Trade Agreement (CETA), EU Carbon Border Adjustment Mechanism (CBAM) Definitive Regime (2026), and EU Deforestation Regulation (EUDR). As documented in recent economic filings (EUR 124.8 billion total bilateral trade; 98.6% of EU tariff lines duty-free; EUR 14.5 billion services trade surplus in financial, engineering, and aviation sectors across Europe),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EUDR geolocation traceability for timber, cattle, soy, and paper entering European Union ports (Rotterdam, Hamburg, Antwerp, Marseille).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Global Affairs Departmental Headquarters &amp; EU Directorate (Brussels / Ottawa) are advancing mutual recognition of guarantee-of-origin certificates, carbon intensity accounting, and clean fuel logistics under EU-Allied Clean Fuel Standard alignment and European Maritime FuelEU carbon intensity thresholds. Harmonizing verification protocols with European Commission DG TRADE, European Council Trade Policy Committee, European Court of Justice, CEN/CENELEC prevents duplicative testing and unlocks long-term offtake financing.</w:t>
      </w:r>
    </w:p>
    <w:p>
      <w:r>
        <w:rPr>
          <w:sz w:val="22"/>
        </w:rPr>
        <w:t xml:space="preserve">3.5 Energy &amp; Climate Action Plan for Europe: Priority actions for the upcoming quarter include finalizing clean energy technical annexes under Institutional 5-Year CETA Regulatory Cooperation Forum Workplan and Joint Customs Cooperation Committee Decision,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European Commission DG TRADE, European Council Trade Policy Committee, European Court of Justice, CEN/CENELEC under EU-Allied Clean Fuel Standard alignment and European Maritime FuelEU carbon intensity thresholds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European Commission DG TRADE, European Council Trade Policy Committee, European Court of Justice, CEN/CENELEC. Aligning bilateral export credit and project finance guarantees with Europe sustainability standards remains a key deliverable under Institutional 5-Year CETA Regulatory Cooperation Forum Workplan and Joint Customs Cooperation Committee Decision.</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EU EIDAS 2.0 European Digital Identity Wallet and Mutual Recognition of Conformity Assessment (CETA Protocol on Conformity Assessment) and enforced by European Commission DG TRADE, European Council Trade Policy Committee, European Court of Justice, CEN/CENELEC.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Comprehensive Economic and Trade Agreement (CETA), EU Carbon Border Adjustment Mechanism (CBAM) Definitive Regime (2026), and EU Deforestation Regulation (EUDR) establishes strict legal mechanisms for international data transfers involving Europe. Enterprises operating across Europe must maintain validated transfer instruments, privacy impact assessments, and cybersecurity safeguards aligned with EU Anti-Coercion Instrument (Regulation (EU) 2023/2675) and Foreign Subsidies Regulation (FSR) M&amp;A notification thresholds.</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(EU EIDAS 2.0 European Digital Identity Wallet and Mutual Recognition of Conformity Assessment (CETA Protocol on Conformity Assessment)). Supply-chain coordination focusing on EUDR geolocation traceability for timber, cattle, soy, and paper entering European Union ports (Rotterdam, Hamburg, Antwerp, Marseille) is essential to mitigate fabrication bottlenecks and export control disruptions.</w:t>
      </w:r>
    </w:p>
    <w:p>
      <w:r>
        <w:rPr>
          <w:sz w:val="22"/>
        </w:rPr>
        <w:t xml:space="preserve">4.4 Cybersecurity Standards and Critical Infrastructure Protection (Europe): Under EU Anti-Coercion Instrument (Regulation (EU) 2023/2675) and Foreign Subsidies Regulation (FSR) M&amp;A notification thresholds,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European Commission DG TRADE, European Council Trade Policy Committee, European Court of Justice, CEN/CENELEC, while tracking compliance deadlines under Comprehensive Economic and Trade Agreement (CETA), EU Carbon Border Adjustment Mechanism (CBAM) Definitive Regime (2026), and EU Deforestation Regulation (EUDR).</w:t>
      </w:r>
    </w:p>
    <w:p>
      <w:r>
        <w:rPr>
          <w:sz w:val="22"/>
        </w:rPr>
        <w:t xml:space="preserve">4.6 Frontier AI Model Evaluation, Red-Teaming, and Algorithmic Auditing (Europe): Technical standards bodies in Europe (European Commission DG TRADE, European Council Trade Policy Committee, European Court of Justice, CEN/CENELEC) have instituted structured evaluation protocols for general-purpose and frontier AI models covering systemic safety, cybersecurity resilience, synthetic content provenance, and copyright transparency under EU EIDAS 2.0 European Digital Identity Wallet and Mutual Recognition of Conformity Assessment (CETA Protocol on Conformity Assessment).</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European Commission DG TRADE, European Council Trade Policy Committee, European Court of Justice, CEN/CENELEC. Bilateral science and technology cooperation is coordinated through Global Affairs Departmental Headquarters &amp; EU Directorate (Brussels / Ottawa).</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EU Anti-Coercion Instrument (Regulation (EU) 2023/2675) and Foreign Subsidies Regulation (FSR) M&amp;A notification thresholds. Assessments coordinated through Global Affairs Departmental Headquarters &amp; EU Directorate (Brussels / Ottawa)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EUDR geolocation traceability for timber, cattle, soy, and paper entering European Union ports (Rotterdam, Hamburg, Antwerp, Marseille). In partnership with European Commission DG TRADE, European Council Trade Policy Committee, European Court of Justice, CEN/CENELEC,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(European Commission DG TRADE, European Council Trade Policy Committee, European Court of Justice, CEN/CENELEC) enforce rigorous end-user verification, intangible technology transfer controls, and financial screening tied to Comprehensive Economic and Trade Agreement (CETA), EU Carbon Border Adjustment Mechanism (CBAM) Definitive Regime (2026), and EU Deforestation Regulation (EUDR).</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EU Anti-Coercion Instrument (Regulation (EU) 2023/2675) and Foreign Subsidies Regulation (FSR) M&amp;A notification thresholds.</w:t>
      </w:r>
    </w:p>
    <w:p>
      <w:r>
        <w:rPr>
          <w:sz w:val="22"/>
        </w:rPr>
        <w:t xml:space="preserve">5.5 Risk Mitigation Matrix for Europe: Senior decision-makers reviewing Europe files from the OrgFiles repository must weigh macroeconomic exposure (EUR 124.8 billion total bilateral trade; 98.6% of EU tariff lines duty-free; EUR 14.5 billion services trade surplus in financial, engineering, and aviation sectors across Europe) against regulatory shifts in Comprehensive Economic and Trade Agreement (CETA), EU Carbon Border Adjustment Mechanism (CBAM) Definitive Regime (2026), and EU Deforestation Regulation (EUDR),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(EU EIDAS 2.0 European Digital Identity Wallet and Mutual Recognition of Conformity Assessment (CETA Protocol on Conformity Assessment)). Vetting procedures coordinated with European Commission DG TRADE, European Council Trade Policy Committee, European Court of Justice, CEN/CENELEC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EUDR geolocation traceability for timber, cattle, soy, and paper entering European Union ports (Rotterdam, Hamburg, Antwerp, Marseille).</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Global Affairs Departmental Headquarters &amp; EU Directorate (Brussels / Ottawa), the primary diplomatic objective for Europe is Institutional 5-Year CETA Regulatory Cooperation Forum Workplan and Joint Customs Cooperation Committee Decision. Briefing packages compiled by Directorate-General for European Trade &amp; Economic Policy (OrgFiles Repository) synthesize inputs from trade, energy, digital, and security divisions.</w:t>
      </w:r>
    </w:p>
    <w:p>
      <w:r>
        <w:rPr>
          <w:sz w:val="22"/>
        </w:rPr>
        <w:t xml:space="preserve">6.2 Core Ministerial Talking Points for Europe Counterparts (European Commission DG TRADE, European Council Trade Policy Committee, European Court of Justice, CEN/CENELEC): (1) Reaffirm commitment to rules-based bilateral trade and transparent market access across Europe (EUR 124.8 billion total bilateral trade; 98.6% of EU tariff lines duty-free; EUR 14.5 billion services trade surplus in financial, engineering, and aviation sectors across Europe); (2) Advance practical regulatory alignment on Comprehensive Economic and Trade Agreement (CETA), EU Carbon Border Adjustment Mechanism (CBAM) Definitive Regime (2026), and EU Deforestation Regulation (EUDR) to minimize unintended barriers for compliant industries; (3) Deepen clean energy and critical mineral collaboration through EU-Allied Clean Fuel Standard alignment and European Maritime FuelEU carbon intensity thresholds and EUDR geolocation traceability for timber, cattle, soy, and paper entering European Union ports (Rotterdam, Hamburg, Antwerp, Marseille); and (4) Strengthen digital trust, AI safety interoperability, and infrastructure resilience under EU EIDAS 2.0 European Digital Identity Wallet and Mutual Recognition of Conformity Assessment (CETA Protocol on Conformity Assessment) and EU Anti-Coercion Instrument (Regulation (EU) 2023/2675) and Foreign Subsidies Regulation (FSR) M&amp;A notification thresholds.</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Institutional 5-Year CETA Regulatory Cooperation Forum Workplan and Joint Customs Cooperation Committee Decision and request timely guidance on Comprehensive Economic and Trade Agreement (CETA), EU Carbon Border Adjustment Mechanism (CBAM) Definitive Regime (2026), and EU Deforestation Regulation (EUDR).</w:t>
      </w:r>
    </w:p>
    <w:p>
      <w:r>
        <w:rPr>
          <w:sz w:val="22"/>
        </w:rPr>
        <w:t xml:space="preserve">6.4 Implementation Timeline and Next Steps (2026–2027) for Europe: Q1–Q2: Technical working group sessions with European Commission DG TRADE, European Council Trade Policy Committee, European Court of Justice, CEN/CENELEC on customs, AI governance, and clean energy standards. Q3: Mid-term review of supply chain resilience metrics (EUDR geolocation traceability for timber, cattle, soy, and paper entering European Union ports (Rotterdam, Hamburg, Antwerp, Marseille)) and bilateral investment flows. Q4: Ministerial summit execution and formal adoption of Institutional 5-Year CETA Regulatory Cooperation Forum Workplan and Joint Customs Cooperation Committee Decision.</w:t>
      </w:r>
    </w:p>
    <w:p>
      <w:r>
        <w:rPr>
          <w:sz w:val="22"/>
        </w:rPr>
        <w:t xml:space="preserve">6.5 Watchlist Indicators and Trigger Events (Europe): Desk officers at Global Affairs Departmental Headquarters &amp; EU Directorate (Brussels / Ottawa) will monitor legislative calendars, tariff schedule gazettes, and regulatory enforcement actions issued by European Commission DG TRADE, European Council Trade Policy Committee, European Court of Justice, CEN/CENELEC. Any material change to Comprehensive Economic and Trade Agreement (CETA), EU Carbon Border Adjustment Mechanism (CBAM) Definitive Regime (2026), and EU Deforestation Regulation (EUDR) triggers an immediate Level 1 and Level 2 retrieval refresh in the AIde-Mémoire system.</w:t>
      </w:r>
    </w:p>
    <w:p>
      <w:r>
        <w:rPr>
          <w:sz w:val="22"/>
        </w:rPr>
        <w:t xml:space="preserve">6.6 Document Governance &amp; Retrieval Attestation: Document ID GAC-ORG-EU-101 | Author: Directorate-General for European Trade &amp; Economic Policy (OrgFiles Repository) | Repository Folder: OrgFiles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Institutional Policy Framework: CETA Trade &amp; Single Market Regulatory Alignment</dc:title>
  <dc:subject>Departmental Reference Dossier — European Union Trade, Customs &amp; Regulatory Cooperation</dc:subject>
  <dc:creator>Directorate-General for European Trade &amp; Economic Policy (OrgFiles Repository)</dc:creator>
  <cp:keywords>Country:Europe;RefinableString100:Europe;Folder:OrgFiles</cp:keywords>
  <dc:description>Country=Europe | RefinableString100=Europe | Folder=OrgFiles | Comprehensive Economic and Trade Agreement (CETA), EU Carbon Border Adjustment Mechanism (CBAM) Definitive Regime (2026), and EU Deforestation Regulation (EUDR)</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OrgFiles</vt:lpwstr>
  </property>
  <property fmtid="{D5CDD505-2E9C-101B-9397-08002B2CF9AE}" pid="5" name="DocumentId">
    <vt:lpwstr>GAC-ORG-EU-101</vt:lpwstr>
  </property>
</Properties>
</file>