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99CD0" w14:textId="77777777" w:rsidR="00FE1498" w:rsidRDefault="00000000">
      <w:r>
        <w:rPr>
          <w:b/>
          <w:sz w:val="32"/>
        </w:rPr>
        <w:t>China Bilateral Trade, MOFCOM Export Licensing &amp; Agricultural Tariff Briefing</w:t>
      </w:r>
    </w:p>
    <w:p w14:paraId="4E51AC75" w14:textId="77777777" w:rsidR="00FE1498" w:rsidRDefault="00000000">
      <w:r>
        <w:rPr>
          <w:i/>
        </w:rPr>
        <w:t>Analyst Working Draft — MOFCOM, GACC Customs &amp; Strategic Export Controls</w:t>
      </w:r>
    </w:p>
    <w:tbl>
      <w:tblPr>
        <w:tblW w:w="0" w:type="auto"/>
        <w:tblInd w:w="10" w:type="dxa"/>
        <w:tblBorders>
          <w:top w:val="single" w:sz="6" w:space="0" w:color="2F5597"/>
          <w:left w:val="single" w:sz="6" w:space="0" w:color="2F5597"/>
          <w:bottom w:val="single" w:sz="6" w:space="0" w:color="2F5597"/>
          <w:right w:val="single" w:sz="6" w:space="0" w:color="2F5597"/>
          <w:insideH w:val="single" w:sz="4" w:space="0" w:color="D9E2F3"/>
          <w:insideV w:val="single" w:sz="4" w:space="0" w:color="D9E2F3"/>
        </w:tblBorders>
        <w:tblCellMar>
          <w:left w:w="10" w:type="dxa"/>
          <w:right w:w="10" w:type="dxa"/>
        </w:tblCellMar>
        <w:tblLook w:val="0000" w:firstRow="0" w:lastRow="0" w:firstColumn="0" w:lastColumn="0" w:noHBand="0" w:noVBand="0"/>
      </w:tblPr>
      <w:tblGrid>
        <w:gridCol w:w="1728"/>
        <w:gridCol w:w="7642"/>
      </w:tblGrid>
      <w:tr w:rsidR="00FE1498" w14:paraId="62967D3A" w14:textId="77777777">
        <w:tblPrEx>
          <w:tblCellMar>
            <w:top w:w="0" w:type="dxa"/>
            <w:bottom w:w="0" w:type="dxa"/>
          </w:tblCellMar>
        </w:tblPrEx>
        <w:tc>
          <w:tcPr>
            <w:tcW w:w="0" w:type="auto"/>
          </w:tcPr>
          <w:p w14:paraId="2E51D6A0" w14:textId="77777777" w:rsidR="00FE1498" w:rsidRDefault="00000000">
            <w:r>
              <w:rPr>
                <w:b/>
              </w:rPr>
              <w:t>Country (SharePoint Column)</w:t>
            </w:r>
          </w:p>
        </w:tc>
        <w:tc>
          <w:tcPr>
            <w:tcW w:w="0" w:type="auto"/>
          </w:tcPr>
          <w:p w14:paraId="14A394F7" w14:textId="77777777" w:rsidR="00FE1498" w:rsidRDefault="00000000">
            <w:r>
              <w:t>China</w:t>
            </w:r>
          </w:p>
        </w:tc>
      </w:tr>
      <w:tr w:rsidR="00FE1498" w14:paraId="351A811C" w14:textId="77777777">
        <w:tblPrEx>
          <w:tblCellMar>
            <w:top w:w="0" w:type="dxa"/>
            <w:bottom w:w="0" w:type="dxa"/>
          </w:tblCellMar>
        </w:tblPrEx>
        <w:tc>
          <w:tcPr>
            <w:tcW w:w="0" w:type="auto"/>
          </w:tcPr>
          <w:p w14:paraId="424F0E6F" w14:textId="77777777" w:rsidR="00FE1498" w:rsidRDefault="00000000">
            <w:r>
              <w:rPr>
                <w:b/>
              </w:rPr>
              <w:t>Managed Property (RefinableString100)</w:t>
            </w:r>
          </w:p>
        </w:tc>
        <w:tc>
          <w:tcPr>
            <w:tcW w:w="0" w:type="auto"/>
          </w:tcPr>
          <w:p w14:paraId="6DE99588" w14:textId="77777777" w:rsidR="00FE1498" w:rsidRDefault="00000000">
            <w:r>
              <w:t>China</w:t>
            </w:r>
          </w:p>
        </w:tc>
      </w:tr>
      <w:tr w:rsidR="00FE1498" w14:paraId="389FCE7C" w14:textId="77777777">
        <w:tblPrEx>
          <w:tblCellMar>
            <w:top w:w="0" w:type="dxa"/>
            <w:bottom w:w="0" w:type="dxa"/>
          </w:tblCellMar>
        </w:tblPrEx>
        <w:tc>
          <w:tcPr>
            <w:tcW w:w="0" w:type="auto"/>
          </w:tcPr>
          <w:p w14:paraId="54D7EF01" w14:textId="77777777" w:rsidR="00FE1498" w:rsidRDefault="00000000">
            <w:r>
              <w:rPr>
                <w:b/>
              </w:rPr>
              <w:t>Repository Folder</w:t>
            </w:r>
          </w:p>
        </w:tc>
        <w:tc>
          <w:tcPr>
            <w:tcW w:w="0" w:type="auto"/>
          </w:tcPr>
          <w:p w14:paraId="7AF8DF6A" w14:textId="77777777" w:rsidR="00FE1498" w:rsidRDefault="00000000">
            <w:proofErr w:type="spellStart"/>
            <w:r>
              <w:t>MyFiles</w:t>
            </w:r>
            <w:proofErr w:type="spellEnd"/>
          </w:p>
        </w:tc>
      </w:tr>
      <w:tr w:rsidR="00FE1498" w14:paraId="29A23331" w14:textId="77777777">
        <w:tblPrEx>
          <w:tblCellMar>
            <w:top w:w="0" w:type="dxa"/>
            <w:bottom w:w="0" w:type="dxa"/>
          </w:tblCellMar>
        </w:tblPrEx>
        <w:tc>
          <w:tcPr>
            <w:tcW w:w="0" w:type="auto"/>
          </w:tcPr>
          <w:p w14:paraId="65C130F4" w14:textId="77777777" w:rsidR="00FE1498" w:rsidRDefault="00000000">
            <w:r>
              <w:rPr>
                <w:b/>
              </w:rPr>
              <w:t>Document ID</w:t>
            </w:r>
          </w:p>
        </w:tc>
        <w:tc>
          <w:tcPr>
            <w:tcW w:w="0" w:type="auto"/>
          </w:tcPr>
          <w:p w14:paraId="3F7FEC8A" w14:textId="77777777" w:rsidR="00FE1498" w:rsidRDefault="00000000">
            <w:r>
              <w:t>GAC-MY-CN-001</w:t>
            </w:r>
          </w:p>
        </w:tc>
      </w:tr>
      <w:tr w:rsidR="00FE1498" w14:paraId="3AE7EA0B" w14:textId="77777777">
        <w:tblPrEx>
          <w:tblCellMar>
            <w:top w:w="0" w:type="dxa"/>
            <w:bottom w:w="0" w:type="dxa"/>
          </w:tblCellMar>
        </w:tblPrEx>
        <w:tc>
          <w:tcPr>
            <w:tcW w:w="0" w:type="auto"/>
          </w:tcPr>
          <w:p w14:paraId="4E929619" w14:textId="77777777" w:rsidR="00FE1498" w:rsidRDefault="00000000">
            <w:r>
              <w:rPr>
                <w:b/>
              </w:rPr>
              <w:t>Lead Author / Unit</w:t>
            </w:r>
          </w:p>
        </w:tc>
        <w:tc>
          <w:tcPr>
            <w:tcW w:w="0" w:type="auto"/>
          </w:tcPr>
          <w:p w14:paraId="689518DE" w14:textId="77777777" w:rsidR="00FE1498" w:rsidRDefault="00000000">
            <w:r>
              <w:t>Kevin Zhang (Senior Trade &amp; Economic Analyst, China &amp; Northeast Asia Division)</w:t>
            </w:r>
          </w:p>
        </w:tc>
      </w:tr>
      <w:tr w:rsidR="00FE1498" w14:paraId="1E1AD91E" w14:textId="77777777">
        <w:tblPrEx>
          <w:tblCellMar>
            <w:top w:w="0" w:type="dxa"/>
            <w:bottom w:w="0" w:type="dxa"/>
          </w:tblCellMar>
        </w:tblPrEx>
        <w:tc>
          <w:tcPr>
            <w:tcW w:w="0" w:type="auto"/>
          </w:tcPr>
          <w:p w14:paraId="6E0A8953" w14:textId="77777777" w:rsidR="00FE1498" w:rsidRDefault="00000000">
            <w:r>
              <w:rPr>
                <w:b/>
              </w:rPr>
              <w:t>Diplomatic Mission</w:t>
            </w:r>
          </w:p>
        </w:tc>
        <w:tc>
          <w:tcPr>
            <w:tcW w:w="0" w:type="auto"/>
          </w:tcPr>
          <w:p w14:paraId="2543337C" w14:textId="77777777" w:rsidR="00FE1498" w:rsidRDefault="00000000">
            <w:r>
              <w:t>Embassy in Beijing (Chaoyang District) &amp; Consulate General in Shanghai</w:t>
            </w:r>
          </w:p>
        </w:tc>
      </w:tr>
      <w:tr w:rsidR="00FE1498" w14:paraId="586E132C" w14:textId="77777777">
        <w:tblPrEx>
          <w:tblCellMar>
            <w:top w:w="0" w:type="dxa"/>
            <w:bottom w:w="0" w:type="dxa"/>
          </w:tblCellMar>
        </w:tblPrEx>
        <w:tc>
          <w:tcPr>
            <w:tcW w:w="0" w:type="auto"/>
          </w:tcPr>
          <w:p w14:paraId="070808CD" w14:textId="77777777" w:rsidR="00FE1498" w:rsidRDefault="00000000">
            <w:r>
              <w:rPr>
                <w:b/>
              </w:rPr>
              <w:t>Key Counterpart Institutions</w:t>
            </w:r>
          </w:p>
        </w:tc>
        <w:tc>
          <w:tcPr>
            <w:tcW w:w="0" w:type="auto"/>
          </w:tcPr>
          <w:p w14:paraId="5A465D17" w14:textId="77777777" w:rsidR="00FE1498" w:rsidRDefault="00000000">
            <w:r>
              <w:t>Ministry of Commerce of the People's Republic of China (MOFCOM), General Administration of Customs (GACC), NDRC, State Council Tariff Commission</w:t>
            </w:r>
          </w:p>
        </w:tc>
      </w:tr>
      <w:tr w:rsidR="00FE1498" w14:paraId="080C401B" w14:textId="77777777">
        <w:tblPrEx>
          <w:tblCellMar>
            <w:top w:w="0" w:type="dxa"/>
            <w:bottom w:w="0" w:type="dxa"/>
          </w:tblCellMar>
        </w:tblPrEx>
        <w:tc>
          <w:tcPr>
            <w:tcW w:w="0" w:type="auto"/>
          </w:tcPr>
          <w:p w14:paraId="11E25455" w14:textId="77777777" w:rsidR="00FE1498" w:rsidRDefault="00000000">
            <w:r>
              <w:rPr>
                <w:b/>
              </w:rPr>
              <w:t>Flagship Policy Instrument</w:t>
            </w:r>
          </w:p>
        </w:tc>
        <w:tc>
          <w:tcPr>
            <w:tcW w:w="0" w:type="auto"/>
          </w:tcPr>
          <w:p w14:paraId="32C9F016" w14:textId="77777777" w:rsidR="00FE1498" w:rsidRDefault="00000000">
            <w:r>
              <w:t>PRC Export Control Law, MOFCOM Dual-Use Item Export Licensing Catalogue (Gallium, Germanium, Antimony, Graphite), and GACC Decree 248/249 Food Facility Registration</w:t>
            </w:r>
          </w:p>
        </w:tc>
      </w:tr>
      <w:tr w:rsidR="00FE1498" w14:paraId="1F9575F6" w14:textId="77777777">
        <w:tblPrEx>
          <w:tblCellMar>
            <w:top w:w="0" w:type="dxa"/>
            <w:bottom w:w="0" w:type="dxa"/>
          </w:tblCellMar>
        </w:tblPrEx>
        <w:tc>
          <w:tcPr>
            <w:tcW w:w="0" w:type="auto"/>
          </w:tcPr>
          <w:p w14:paraId="5904038E" w14:textId="77777777" w:rsidR="00FE1498" w:rsidRDefault="00000000">
            <w:r>
              <w:rPr>
                <w:b/>
              </w:rPr>
              <w:t>SharePoint Target URL</w:t>
            </w:r>
          </w:p>
        </w:tc>
        <w:tc>
          <w:tcPr>
            <w:tcW w:w="0" w:type="auto"/>
          </w:tcPr>
          <w:p w14:paraId="0A093DD3" w14:textId="77777777" w:rsidR="00FE1498" w:rsidRDefault="00000000">
            <w:r>
              <w:t>https://m365cpi50688407.sharepoint.com/sites/site2/Shared Documents/MyFiles/CN_01_MyFiles_Bilateral_Trade_Export_Controls_And_Tariffs_Briefing.docx</w:t>
            </w:r>
          </w:p>
        </w:tc>
      </w:tr>
    </w:tbl>
    <w:p w14:paraId="0AF1485B" w14:textId="77777777" w:rsidR="0041489B" w:rsidRDefault="0041489B">
      <w:pPr>
        <w:rPr>
          <w:b/>
          <w:sz w:val="28"/>
        </w:rPr>
      </w:pPr>
    </w:p>
    <w:p w14:paraId="4D9764DF" w14:textId="77777777" w:rsidR="0041489B" w:rsidRDefault="0041489B">
      <w:pPr>
        <w:rPr>
          <w:b/>
          <w:sz w:val="28"/>
        </w:rPr>
      </w:pPr>
      <w:r>
        <w:rPr>
          <w:b/>
          <w:sz w:val="28"/>
        </w:rPr>
        <w:br w:type="page"/>
      </w:r>
    </w:p>
    <w:p w14:paraId="43DB1B95" w14:textId="65717B63" w:rsidR="00FE1498" w:rsidRDefault="00000000">
      <w:r>
        <w:rPr>
          <w:b/>
          <w:sz w:val="28"/>
        </w:rPr>
        <w:lastRenderedPageBreak/>
        <w:t>Page 1 — Executive Summary &amp; China Jurisdictional Mandate</w:t>
      </w:r>
    </w:p>
    <w:p w14:paraId="47BE0C54" w14:textId="77777777" w:rsidR="00FE1498" w:rsidRDefault="00000000">
      <w:r>
        <w:rPr>
          <w:sz w:val="22"/>
        </w:rPr>
        <w:t xml:space="preserve">DOCUMENT CLASSIFICATION METADATA — COUNTRY: China | MANAGED PROPERTY: RefinableString100=China | REPOSITORY FOLDER: </w:t>
      </w:r>
      <w:proofErr w:type="spellStart"/>
      <w:r>
        <w:rPr>
          <w:sz w:val="22"/>
        </w:rPr>
        <w:t>MyFiles</w:t>
      </w:r>
      <w:proofErr w:type="spellEnd"/>
      <w:r>
        <w:rPr>
          <w:sz w:val="22"/>
        </w:rPr>
        <w:t xml:space="preserve"> | DOCUMENT ID: GAC-MY-CN-001</w:t>
      </w:r>
    </w:p>
    <w:p w14:paraId="60EBCD41" w14:textId="77777777" w:rsidR="00FE1498" w:rsidRDefault="00000000">
      <w:r>
        <w:rPr>
          <w:sz w:val="22"/>
        </w:rPr>
        <w:t>1.1 Executive Mandate and Jurisdictional Scope (China): This Analyst Working Briefing &amp; Operational Memo (</w:t>
      </w:r>
      <w:proofErr w:type="spellStart"/>
      <w:r>
        <w:rPr>
          <w:sz w:val="22"/>
        </w:rPr>
        <w:t>MyFiles</w:t>
      </w:r>
      <w:proofErr w:type="spellEnd"/>
      <w:r>
        <w:rPr>
          <w:sz w:val="22"/>
        </w:rPr>
        <w:t xml:space="preserve"> Personal/Team Workspace) provides an authoritative, multi-page assessment exclusively scoped to China. Within the Two-Level Retrieval Architecture for Microsoft 365 Copilot Retrieval API, this document is governed under the SharePoint library column Country = 'China' (mapped in the SharePoint Search Schema to the </w:t>
      </w:r>
      <w:proofErr w:type="spellStart"/>
      <w:r>
        <w:rPr>
          <w:sz w:val="22"/>
        </w:rPr>
        <w:t>queryable</w:t>
      </w:r>
      <w:proofErr w:type="spellEnd"/>
      <w:r>
        <w:rPr>
          <w:sz w:val="22"/>
        </w:rPr>
        <w:t xml:space="preserve"> managed property RefinableString100 = 'China') and stored inside the '</w:t>
      </w:r>
      <w:proofErr w:type="spellStart"/>
      <w:r>
        <w:rPr>
          <w:sz w:val="22"/>
        </w:rPr>
        <w:t>MyFiles</w:t>
      </w:r>
      <w:proofErr w:type="spellEnd"/>
      <w:r>
        <w:rPr>
          <w:sz w:val="22"/>
        </w:rPr>
        <w:t>' folder on SharePoint site2 (https://m365cpi50688407.sharepoint.com/sites/site2/Shared Documents/MyFiles/CN_01_MyFiles_Bilateral_Trade_Export_Controls_And_Tariffs_Briefing.docx).</w:t>
      </w:r>
    </w:p>
    <w:p w14:paraId="512E0F2E" w14:textId="77777777" w:rsidR="00FE1498" w:rsidRDefault="00000000">
      <w:r>
        <w:rPr>
          <w:sz w:val="22"/>
        </w:rPr>
        <w:t>1.2 Lead Diplomatic Mission and Institutional Counterparts in China: Primary operational coordination is led by Embassy in Beijing (Chaoyang District) &amp; Consulate General in Shanghai, engaging directly with Ministry of Commerce of the People's Republic of China (MOFCOM), General Administration of Customs (GACC), NDRC, State Council Tariff Commission. All policy recommendations, briefing talking points, and risk assessments in this dossier apply strictly to the China bilateral and multilateral theatre.</w:t>
      </w:r>
    </w:p>
    <w:p w14:paraId="6F092602" w14:textId="77777777" w:rsidR="00FE1498" w:rsidRDefault="00000000">
      <w:r>
        <w:rPr>
          <w:sz w:val="22"/>
        </w:rPr>
        <w:t>1.3 Flagship Regulatory and Policy Anchor (China): The central policy instrument governing current engagement with China is PRC Export Control Law, MOFCOM Dual-Use Item Export Licensing Catalogue (Gallium, Germanium, Antimony, Graphite), and GACC Decree 248/249 Food Facility Registration. Senior officials and briefing analysts preparing ministerial aide-</w:t>
      </w:r>
      <w:proofErr w:type="spellStart"/>
      <w:r>
        <w:rPr>
          <w:sz w:val="22"/>
        </w:rPr>
        <w:t>mémoires</w:t>
      </w:r>
      <w:proofErr w:type="spellEnd"/>
      <w:r>
        <w:rPr>
          <w:sz w:val="22"/>
        </w:rPr>
        <w:t xml:space="preserve"> for China must anchor all commercial, technological, and security assessments in the compliance milestones established by Ministry of Commerce of the People's Republic of China (MOFCOM), General Administration of Customs (GACC), NDRC, State Council Tariff Commission.</w:t>
      </w:r>
    </w:p>
    <w:p w14:paraId="4D0413CF" w14:textId="77777777" w:rsidR="00FE1498" w:rsidRDefault="00000000">
      <w:r>
        <w:rPr>
          <w:sz w:val="22"/>
        </w:rPr>
        <w:t>1.4 Summary of Strategic Indicators for China: Bilateral commercial volume and strategic exposure are characterized by RMB 745 billion (USD 104.2 billion) bilateral merchandise trade; canola seed, potash, wood pulp, and iron ore exports alongside EV, solar cell, and lithium-ion battery tariff investigations. Across the 2026–2028 planning horizon, departmental priorities for China center on safeguarding supply chain resilience, aligning clean energy and digital standards, and executing the deliverables defined for Convening of the Joint Economic and Trade Commission (JETC) working group on GACC agricultural inspection timelines and maritime shipping lanes.</w:t>
      </w:r>
    </w:p>
    <w:p w14:paraId="3078DA6C" w14:textId="77777777" w:rsidR="00FE1498" w:rsidRDefault="00000000">
      <w:r>
        <w:rPr>
          <w:sz w:val="22"/>
        </w:rPr>
        <w:t xml:space="preserve">1.5 Two-Level Retrieval Verification Marker (China / </w:t>
      </w:r>
      <w:proofErr w:type="spellStart"/>
      <w:r>
        <w:rPr>
          <w:sz w:val="22"/>
        </w:rPr>
        <w:t>MyFiles</w:t>
      </w:r>
      <w:proofErr w:type="spellEnd"/>
      <w:r>
        <w:rPr>
          <w:sz w:val="22"/>
        </w:rPr>
        <w:t>): When a user selects 'China' in the conversational webchat interface, Level 1 deterministic filtering narrows the SharePoint candidate document set to files tagged with Country='China' (RefinableString100:'China'). Level 2 semantic retrieval then extracts grounded passages exclusively from the confirmed China file paths, ensuring zero cross-contamination from other jurisdictions.</w:t>
      </w:r>
    </w:p>
    <w:p w14:paraId="27601C21" w14:textId="77777777" w:rsidR="00FE1498" w:rsidRDefault="00000000">
      <w:r>
        <w:rPr>
          <w:sz w:val="22"/>
        </w:rPr>
        <w:lastRenderedPageBreak/>
        <w:t xml:space="preserve">1.6 Departmental Governance and Quality Assurance (China): In accordance with the </w:t>
      </w:r>
      <w:proofErr w:type="spellStart"/>
      <w:r>
        <w:rPr>
          <w:sz w:val="22"/>
        </w:rPr>
        <w:t>AIde-Mémoire</w:t>
      </w:r>
      <w:proofErr w:type="spellEnd"/>
      <w:r>
        <w:rPr>
          <w:sz w:val="22"/>
        </w:rPr>
        <w:t xml:space="preserve"> Architecture Design Document v2.0 (Section 8.1), all source materials inside </w:t>
      </w:r>
      <w:proofErr w:type="spellStart"/>
      <w:r>
        <w:rPr>
          <w:sz w:val="22"/>
        </w:rPr>
        <w:t>MyFiles</w:t>
      </w:r>
      <w:proofErr w:type="spellEnd"/>
      <w:r>
        <w:rPr>
          <w:sz w:val="22"/>
        </w:rPr>
        <w:t xml:space="preserve"> classified under Country='China' undergo mandatory metadata verification prior to briefing synthesis. The delegated Microsoft Graph token enforces SharePoint item-level security trimming while preserving strict country-boundary isolation for China throughout both retrieval stages.</w:t>
      </w:r>
    </w:p>
    <w:p w14:paraId="2D23EEFD" w14:textId="77777777" w:rsidR="00FE1498" w:rsidRDefault="00000000">
      <w:r>
        <w:rPr>
          <w:sz w:val="22"/>
        </w:rPr>
        <w:t>1.7 Comparative Baseline and Analytical Scope (China): Briefing officers consulting this China document should cross-reference the statistical annexes maintained by Ministry of Commerce of the People's Republic of China (MOFCOM), General Administration of Customs (GACC), NDRC, State Council Tariff Commission and the operational cables transmitted by Embassy in Beijing (Chaoyang District) &amp; Consulate General in Shanghai. Key performance indicators tracked across pages 2 through 6 include tariff schedules, clean energy capacity additions, AI conformity deadlines, critical mineral refining shares, and ministerial summit deliverables specific to China.</w:t>
      </w:r>
    </w:p>
    <w:p w14:paraId="569420F2" w14:textId="77777777" w:rsidR="00FE1498" w:rsidRDefault="00000000">
      <w:r>
        <w:br w:type="page"/>
      </w:r>
    </w:p>
    <w:p w14:paraId="0BC0D73B" w14:textId="77777777" w:rsidR="00FE1498" w:rsidRDefault="00000000">
      <w:r>
        <w:rPr>
          <w:b/>
          <w:sz w:val="28"/>
        </w:rPr>
        <w:lastRenderedPageBreak/>
        <w:t>Page 2 — China Bilateral Trade, Tariffs &amp; Market Access Analysis</w:t>
      </w:r>
    </w:p>
    <w:p w14:paraId="000DBAD2" w14:textId="77777777" w:rsidR="00FE1498" w:rsidRDefault="00000000">
      <w:r>
        <w:rPr>
          <w:sz w:val="22"/>
        </w:rPr>
        <w:t>2.1 Bilateral Trade Architecture, Tariff Schedules, and Market Access in China: Economic and commercial relations with China are currently shaped by PRC Export Control Law, MOFCOM Dual-Use Item Export Licensing Catalogue (Gallium, Germanium, Antimony, Graphite), and GACC Decree 248/249 Food Facility Registration. Quantitative trade tracking confirms RMB 745 billion (USD 104.2 billion) bilateral merchandise trade; canola seed, potash, wood pulp, and iron ore exports alongside EV, solar cell, and lithium-ion battery tariff investigations. Customs authorities and trade negotiators interacting with Ministry of Commerce of the People's Republic of China (MOFCOM), General Administration of Customs (GACC), NDRC, State Council Tariff Commission have prioritized predictable rules of origin, tariff rate quota transparency, and dispute avoidance mechanisms specific to China.</w:t>
      </w:r>
    </w:p>
    <w:p w14:paraId="29C4A93C" w14:textId="77777777" w:rsidR="00FE1498" w:rsidRDefault="00000000">
      <w:r>
        <w:rPr>
          <w:sz w:val="22"/>
        </w:rPr>
        <w:t>2.2 Sectoral Tariff Exposure and Industrial Competitiveness (China): In the China market, industrial exporters face evolving regulatory compliance requirements tied to border adjustments, technical standards, and domestic industrial incentives. Specifically, MOFCOM end-user and end-use certificates for synthetic and natural spherical graphite, rare earth permanent magnets, and port congestion at Ningbo-Zhoushan and Shenzhen represents the primary operational bottleneck requiring coordinated intervention by Embassy in Beijing (Chaoyang District) &amp; Consulate General in Shanghai.</w:t>
      </w:r>
    </w:p>
    <w:p w14:paraId="789D3D4F" w14:textId="77777777" w:rsidR="00FE1498" w:rsidRDefault="00000000">
      <w:r>
        <w:rPr>
          <w:sz w:val="22"/>
        </w:rPr>
        <w:t>2.3 Customs Digitization and Border Facilitation (China): Trade compliance workflows with China increasingly rely on China International Trade Single Window (GACC) electronic phytosanitary e-Cert verification. Exporters and logistics operators routing cargo into China must submit verified electronic declarations demonstrating adherence to China statutory standards, carbon accounting methodologies, and supply-chain origin audits.</w:t>
      </w:r>
    </w:p>
    <w:p w14:paraId="4345F75C" w14:textId="77777777" w:rsidR="00FE1498" w:rsidRDefault="00000000">
      <w:r>
        <w:rPr>
          <w:sz w:val="22"/>
        </w:rPr>
        <w:t>2.4 Foreign Direct Investment (FDI) and Outbound/Inbound Screening (China): Capital flows between domestic enterprises and China counterparties are subject to heightened scrutiny under PRC Counter-Espionage Law compliance for foreign chambers of commerce and MOFCOM Unreliable Entity List monitoring. Legal and commercial teams evaluating joint ventures, greenfield facilities, or technology licensing in China must complete pre-transaction assessments covering national security review thresholds and subsidy disclosure rules enforced by Ministry of Commerce of the People's Republic of China (MOFCOM), General Administration of Customs (GACC), NDRC, State Council Tariff Commission.</w:t>
      </w:r>
    </w:p>
    <w:p w14:paraId="6E2F6168" w14:textId="77777777" w:rsidR="00FE1498" w:rsidRDefault="00000000">
      <w:r>
        <w:rPr>
          <w:sz w:val="22"/>
        </w:rPr>
        <w:t xml:space="preserve">2.5 Commercial Policy Recommendations for China: (a) Establish a dedicated bilateral technical working group with Ministry of Commerce of the People's Republic of China (MOFCOM), General Administration of Customs (GACC), NDRC, State Council Tariff Commission to resolve customs and conformity assessment friction; (b) publish updated sector guidance for SMEs exporting to China under PRC Export Control Law, MOFCOM Dual-Use Item Export Licensing Catalogue (Gallium, Germanium, Antimony, Graphite), and GACC Decree 248/249 Food Facility Registration; and (c) advance the trade deliverables scheduled for Convening of the Joint Economic and Trade </w:t>
      </w:r>
      <w:r>
        <w:rPr>
          <w:sz w:val="22"/>
        </w:rPr>
        <w:lastRenderedPageBreak/>
        <w:t>Commission (JETC) working group on GACC agricultural inspection timelines and maritime shipping lanes.</w:t>
      </w:r>
    </w:p>
    <w:p w14:paraId="2AB8BC95" w14:textId="77777777" w:rsidR="00FE1498" w:rsidRDefault="00000000">
      <w:r>
        <w:rPr>
          <w:sz w:val="22"/>
        </w:rPr>
        <w:t>2.6 Non-Tariff Barriers, Sanitary/Phytosanitary Standards, and Technical Regulations (China): Beyond headline customs duties, market access into China depends on conformity with product safety, environmental labeling, and sector-specific certification regimes administered by Ministry of Commerce of the People's Republic of China (MOFCOM), General Administration of Customs (GACC), NDRC, State Council Tariff Commission. Commercial attachés at Embassy in Beijing (Chaoyang District) &amp; Consulate General in Shanghai conduct bi-weekly regulatory horizon scanning to prevent shipment holds at primary China ports of entry.</w:t>
      </w:r>
    </w:p>
    <w:p w14:paraId="0C2765E4" w14:textId="77777777" w:rsidR="00FE1498" w:rsidRDefault="00000000">
      <w:r>
        <w:rPr>
          <w:sz w:val="22"/>
        </w:rPr>
        <w:t>2.7 Bilateral Trade Dispute Resolution and Institutional Mechanisms (China): Where divergent interpretations arise under PRC Export Control Law, MOFCOM Dual-Use Item Export Licensing Catalogue (Gallium, Germanium, Antimony, Graphite), and GACC Decree 248/249 Food Facility Registration, structured consultations through the relevant bilateral trade committees provide an early-resolution channel prior to formal arbitral or multilateral proceedings. All evidentiary submissions for China trade reviews are indexed under Country='China' (RefinableString100='China').</w:t>
      </w:r>
    </w:p>
    <w:p w14:paraId="5E7C936C" w14:textId="77777777" w:rsidR="00FE1498" w:rsidRDefault="00000000">
      <w:r>
        <w:br w:type="page"/>
      </w:r>
    </w:p>
    <w:p w14:paraId="6C308DE4" w14:textId="77777777" w:rsidR="00FE1498" w:rsidRDefault="00000000">
      <w:r>
        <w:rPr>
          <w:b/>
          <w:sz w:val="28"/>
        </w:rPr>
        <w:lastRenderedPageBreak/>
        <w:t>Page 3 — China Clean Energy Transition &amp; Critical Minerals Strategy</w:t>
      </w:r>
    </w:p>
    <w:p w14:paraId="1DC0671B" w14:textId="77777777" w:rsidR="00FE1498" w:rsidRDefault="00000000">
      <w:r>
        <w:rPr>
          <w:sz w:val="22"/>
        </w:rPr>
        <w:t>3.1 Clean Energy Transition, Decarbonization Policies, and Grid Infrastructure in China: Energy security and net-zero industrial transformation form a cornerstone of engagement with China. Under China National Energy Administration (NEA) Ultra-High Voltage (UHV) transmission and petrochemical LNG import terminals in Guangdong and Zhejiang, China has accelerated capital deployment into renewable power generation, clean hydrogen infrastructure, and industrial electrification overseen by Ministry of Commerce of the People's Republic of China (MOFCOM), General Administration of Customs (GACC), NDRC, State Council Tariff Commission.</w:t>
      </w:r>
    </w:p>
    <w:p w14:paraId="79403346" w14:textId="77777777" w:rsidR="00FE1498" w:rsidRDefault="00000000">
      <w:r>
        <w:rPr>
          <w:sz w:val="22"/>
        </w:rPr>
        <w:t>3.2 Carbon Pricing, Emissions Trading, and Clean Tech Subsidies (China): Industrial decarbonization in China is reinforced through statutory carbon pricing and targeted fiscal instruments linked to PRC Export Control Law, MOFCOM Dual-Use Item Export Licensing Catalogue (Gallium, Germanium, Antimony, Graphite), and GACC Decree 248/249 Food Facility Registration. As documented in recent economic filings (RMB 745 billion (USD 104.2 billion) bilateral merchandise trade; canola seed, potash, wood pulp, and iron ore exports alongside EV, solar cell, and lithium-ion battery tariff investigations), energy-intensive manufacturers operating in or exporting to China must account for embedded lifecycle emissions, verified clean power purchase agreements, and certified low-carbon fuel standards.</w:t>
      </w:r>
    </w:p>
    <w:p w14:paraId="2EFBF4AC" w14:textId="77777777" w:rsidR="00FE1498" w:rsidRDefault="00000000">
      <w:r>
        <w:rPr>
          <w:sz w:val="22"/>
        </w:rPr>
        <w:t>3.3 Critical Minerals, Battery Value Chains, and Refining Capacity (China): Securing resilient upstream and midstream mineral supply chains is directly tied to MOFCOM end-user and end-use certificates for synthetic and natural spherical graphite, rare earth permanent magnets, and port congestion at Ningbo-Zhoushan and Shenzhen. Within the China jurisdiction, policy measures prioritize domestic and allied processing capacity for lithium, nickel, cobalt, battery-grade graphite, and rare earth permanent magnets required for electric vehicles and grid storage.</w:t>
      </w:r>
    </w:p>
    <w:p w14:paraId="12E64839" w14:textId="77777777" w:rsidR="00FE1498" w:rsidRDefault="00000000">
      <w:r>
        <w:rPr>
          <w:sz w:val="22"/>
        </w:rPr>
        <w:t>3.4 Cross-Border Energy Corridors and Clean Fuel Certification (China): Bilateral technical teams led by Embassy in Beijing (Chaoyang District) &amp; Consulate General in Shanghai are advancing mutual recognition of guarantee-of-origin certificates, carbon intensity accounting, and clean fuel logistics under China National Energy Administration (NEA) Ultra-High Voltage (UHV) transmission and petrochemical LNG import terminals in Guangdong and Zhejiang. Harmonizing verification protocols with Ministry of Commerce of the People's Republic of China (MOFCOM), General Administration of Customs (GACC), NDRC, State Council Tariff Commission prevents duplicative testing and unlocks long-term offtake financing.</w:t>
      </w:r>
    </w:p>
    <w:p w14:paraId="276D6F1A" w14:textId="77777777" w:rsidR="00FE1498" w:rsidRDefault="00000000">
      <w:r>
        <w:rPr>
          <w:sz w:val="22"/>
        </w:rPr>
        <w:t>3.5 Energy &amp; Climate Action Plan for China: Priority actions for the upcoming quarter include finalizing clean energy technical annexes under Convening of the Joint Economic and Trade Commission (JETC) working group on GACC agricultural inspection timelines and maritime shipping lanes, aligning sustainable finance taxonomies with China regulators, and expanding joint R&amp;D on grid resilience and next-generation nuclear/storage technologies.</w:t>
      </w:r>
    </w:p>
    <w:p w14:paraId="2C4BFB5C" w14:textId="77777777" w:rsidR="00FE1498" w:rsidRDefault="00000000">
      <w:r>
        <w:rPr>
          <w:sz w:val="22"/>
        </w:rPr>
        <w:t xml:space="preserve">3.6 Industrial Electrification and Green Manufacturing Benchmarks (China): Heavy industry transition plans across China require deep integration between zero-emission baseload generation, </w:t>
      </w:r>
      <w:r>
        <w:rPr>
          <w:sz w:val="22"/>
        </w:rPr>
        <w:lastRenderedPageBreak/>
        <w:t>grid-scale battery storage, and green hydrogen feedstocks. Project developers engaging with Ministry of Commerce of the People's Republic of China (MOFCOM), General Administration of Customs (GACC), NDRC, State Council Tariff Commission under China National Energy Administration (NEA) Ultra-High Voltage (UHV) transmission and petrochemical LNG import terminals in Guangdong and Zhejiang must satisfy stringent lifecycle greenhouse gas reduction thresholds and domestic content or diversification benchmarks.</w:t>
      </w:r>
    </w:p>
    <w:p w14:paraId="79F6B3C3" w14:textId="77777777" w:rsidR="00FE1498" w:rsidRDefault="00000000">
      <w:r>
        <w:rPr>
          <w:sz w:val="22"/>
        </w:rPr>
        <w:t>3.7 Climate Finance, Green Bonds, and Transition Taxonomy Alignment (China): Institutional investors financing decarbonization projects in China rely on standardized climate disclosure and taxonomy frameworks overseen by Ministry of Commerce of the People's Republic of China (MOFCOM), General Administration of Customs (GACC), NDRC, State Council Tariff Commission. Aligning bilateral export credit and project finance guarantees with China sustainability standards remains a key deliverable under Convening of the Joint Economic and Trade Commission (JETC) working group on GACC agricultural inspection timelines and maritime shipping lanes.</w:t>
      </w:r>
    </w:p>
    <w:p w14:paraId="085B3AA7" w14:textId="77777777" w:rsidR="00FE1498" w:rsidRDefault="00000000">
      <w:r>
        <w:br w:type="page"/>
      </w:r>
    </w:p>
    <w:p w14:paraId="2EE5C10E" w14:textId="77777777" w:rsidR="00FE1498" w:rsidRDefault="00000000">
      <w:r>
        <w:rPr>
          <w:b/>
          <w:sz w:val="28"/>
        </w:rPr>
        <w:lastRenderedPageBreak/>
        <w:t>Page 4 — China AI Governance, Digital Sovereignty &amp; Cyber Regulation</w:t>
      </w:r>
    </w:p>
    <w:p w14:paraId="3F2C0C41" w14:textId="77777777" w:rsidR="00FE1498" w:rsidRDefault="00000000">
      <w:r>
        <w:rPr>
          <w:sz w:val="22"/>
        </w:rPr>
        <w:t>4.1 Artificial Intelligence Governance, Digital Sovereignty, and Data Regulation in China: The digital regulatory landscape in China is defined by China International Trade Single Window (GACC) electronic phytosanitary e-Cert verification and enforced by Ministry of Commerce of the People's Republic of China (MOFCOM), General Administration of Customs (GACC), NDRC, State Council Tariff Commission. Organizations deploying foundation models, high-risk AI systems, or cloud infrastructure in China must comply with mandatory risk classifications, algorithmic transparency obligations, and post-market monitoring.</w:t>
      </w:r>
    </w:p>
    <w:p w14:paraId="17DEEF1C" w14:textId="77777777" w:rsidR="00FE1498" w:rsidRDefault="00000000">
      <w:r>
        <w:rPr>
          <w:sz w:val="22"/>
        </w:rPr>
        <w:t>4.2 Cross-Border Data Flows, Privacy Compliance, and Localization Rules (China): Data governance under PRC Export Control Law, MOFCOM Dual-Use Item Export Licensing Catalogue (Gallium, Germanium, Antimony, Graphite), and GACC Decree 248/249 Food Facility Registration establishes strict legal mechanisms for international data transfers involving China. Enterprises operating across China must maintain validated transfer instruments, privacy impact assessments, and cybersecurity safeguards aligned with PRC Counter-Espionage Law compliance for foreign chambers of commerce and MOFCOM Unreliable Entity List monitoring.</w:t>
      </w:r>
    </w:p>
    <w:p w14:paraId="5E87C250" w14:textId="77777777" w:rsidR="00FE1498" w:rsidRDefault="00000000">
      <w:r>
        <w:rPr>
          <w:sz w:val="22"/>
        </w:rPr>
        <w:t>4.3 Semiconductor Ecosystems, High-Performance Computing, and Quantum Research (China): Technological competitiveness in China is anchored by strategic investments in advanced microelectronics, AI compute infrastructure, and quantum technologies (China International Trade Single Window (GACC) electronic phytosanitary e-Cert verification). Supply-chain coordination focusing on MOFCOM end-user and end-use certificates for synthetic and natural spherical graphite, rare earth permanent magnets, and port congestion at Ningbo-Zhoushan and Shenzhen is essential to mitigate fabrication bottlenecks and export control disruptions.</w:t>
      </w:r>
    </w:p>
    <w:p w14:paraId="1936594C" w14:textId="77777777" w:rsidR="00FE1498" w:rsidRDefault="00000000">
      <w:r>
        <w:rPr>
          <w:sz w:val="22"/>
        </w:rPr>
        <w:t>4.4 Cybersecurity Standards and Critical Infrastructure Protection (China): Under PRC Counter-Espionage Law compliance for foreign chambers of commerce and MOFCOM Unreliable Entity List monitoring, China authorities require rapid incident reporting, software bill of materials (SBOM) attestation, and hardware supply-chain integrity across telecommunications, financial services, energy grids, and government networks.</w:t>
      </w:r>
    </w:p>
    <w:p w14:paraId="550C711B" w14:textId="77777777" w:rsidR="00FE1498" w:rsidRDefault="00000000">
      <w:r>
        <w:rPr>
          <w:sz w:val="22"/>
        </w:rPr>
        <w:t>4.5 Digital &amp; AI Policy Directives for China: Analysts preparing briefing materials for China should highlight regulatory interoperability opportunities between domestic AI safety institutes and Ministry of Commerce of the People's Republic of China (MOFCOM), General Administration of Customs (GACC), NDRC, State Council Tariff Commission, while tracking compliance deadlines under PRC Export Control Law, MOFCOM Dual-Use Item Export Licensing Catalogue (Gallium, Germanium, Antimony, Graphite), and GACC Decree 248/249 Food Facility Registration.</w:t>
      </w:r>
    </w:p>
    <w:p w14:paraId="595BF0FF" w14:textId="77777777" w:rsidR="00FE1498" w:rsidRDefault="00000000">
      <w:r>
        <w:rPr>
          <w:sz w:val="22"/>
        </w:rPr>
        <w:t xml:space="preserve">4.6 Frontier AI Model Evaluation, Red-Teaming, and Algorithmic Auditing (China): Technical standards bodies in China (Ministry of Commerce of the People's Republic of China (MOFCOM), General Administration of Customs (GACC), NDRC, State Council Tariff Commission) have instituted structured evaluation protocols for general-purpose and frontier AI models covering systemic safety, cybersecurity resilience, synthetic content provenance, and copyright </w:t>
      </w:r>
      <w:r>
        <w:rPr>
          <w:sz w:val="22"/>
        </w:rPr>
        <w:lastRenderedPageBreak/>
        <w:t>transparency under China International Trade Single Window (GACC) electronic phytosanitary e-Cert verification.</w:t>
      </w:r>
    </w:p>
    <w:p w14:paraId="37395ED3" w14:textId="77777777" w:rsidR="00FE1498" w:rsidRDefault="00000000">
      <w:r>
        <w:rPr>
          <w:sz w:val="22"/>
        </w:rPr>
        <w:t>4.7 Digital Public Infrastructure, Cloud Sovereignty, and Quantum Readiness (China): Public-sector cloud procurement and digital identity ecosystems in China increasingly mandate cryptographic agility, post-quantum migration roadmaps, and operational resilience verified by Ministry of Commerce of the People's Republic of China (MOFCOM), General Administration of Customs (GACC), NDRC, State Council Tariff Commission. Bilateral science and technology cooperation is coordinated through Embassy in Beijing (Chaoyang District) &amp; Consulate General in Shanghai.</w:t>
      </w:r>
    </w:p>
    <w:p w14:paraId="2EF7859E" w14:textId="77777777" w:rsidR="00FE1498" w:rsidRDefault="00000000">
      <w:r>
        <w:br w:type="page"/>
      </w:r>
    </w:p>
    <w:p w14:paraId="68CDC461" w14:textId="77777777" w:rsidR="00FE1498" w:rsidRDefault="00000000">
      <w:r>
        <w:rPr>
          <w:b/>
          <w:sz w:val="28"/>
        </w:rPr>
        <w:lastRenderedPageBreak/>
        <w:t>Page 5 — China Strategic Security, Supply Chains &amp; Export Controls</w:t>
      </w:r>
    </w:p>
    <w:p w14:paraId="38F3B01B" w14:textId="77777777" w:rsidR="00FE1498" w:rsidRDefault="00000000">
      <w:r>
        <w:rPr>
          <w:sz w:val="22"/>
        </w:rPr>
        <w:t>5.1 Strategic Security Posture, Economic Resilience, and Geopolitical Risk in China: The broader security and resilience environment in China is governed by PRC Counter-Espionage Law compliance for foreign chambers of commerce and MOFCOM Unreliable Entity List monitoring. Assessments coordinated through Embassy in Beijing (Chaoyang District) &amp; Consulate General in Shanghai emphasize the close linkage between national security, critical infrastructure protection, and economic de-risking across the China theatre.</w:t>
      </w:r>
    </w:p>
    <w:p w14:paraId="77B7C0BD" w14:textId="77777777" w:rsidR="00FE1498" w:rsidRDefault="00000000">
      <w:r>
        <w:rPr>
          <w:sz w:val="22"/>
        </w:rPr>
        <w:t>5.2 Critical Supply Chain Vulnerabilities and De-Risking Measures (China): Detailed supply-chain mapping for China identifies high-priority dependencies in MOFCOM end-user and end-use certificates for synthetic and natural spherical graphite, rare earth permanent magnets, and port congestion at Ningbo-Zhoushan and Shenzhen. In partnership with Ministry of Commerce of the People's Republic of China (MOFCOM), General Administration of Customs (GACC), NDRC, State Council Tariff Commission, contingency protocols have been established to monitor chokepoints, diversify supplier concentration, and maintain strategic buffer inventories.</w:t>
      </w:r>
    </w:p>
    <w:p w14:paraId="5F6A170F" w14:textId="77777777" w:rsidR="00FE1498" w:rsidRDefault="00000000">
      <w:r>
        <w:rPr>
          <w:sz w:val="22"/>
        </w:rPr>
        <w:t>5.3 Export Controls, Sanctions Enforcement, and Dual-Use Technology Screening (China): Compliance with dual-use export control regimes and multilateral restrictive measures is a top operational priority when engaging with China. Regulatory authorities (Ministry of Commerce of the People's Republic of China (MOFCOM), General Administration of Customs (GACC), NDRC, State Council Tariff Commission) enforce rigorous end-user verification, intangible technology transfer controls, and financial screening tied to PRC Export Control Law, MOFCOM Dual-Use Item Export Licensing Catalogue (Gallium, Germanium, Antimony, Graphite), and GACC Decree 248/249 Food Facility Registration.</w:t>
      </w:r>
    </w:p>
    <w:p w14:paraId="040372CB" w14:textId="77777777" w:rsidR="00FE1498" w:rsidRDefault="00000000">
      <w:r>
        <w:rPr>
          <w:sz w:val="22"/>
        </w:rPr>
        <w:t>5.4 Infrastructure Resilience and Crisis Response Mechanisms (China): Joint preparedness exercises and early-warning consultations in China address maritime logistics security, subsea cable and pipeline protection, cyber threat intelligence sharing, and emergency supply-chain coordination under PRC Counter-Espionage Law compliance for foreign chambers of commerce and MOFCOM Unreliable Entity List monitoring.</w:t>
      </w:r>
    </w:p>
    <w:p w14:paraId="13578F25" w14:textId="77777777" w:rsidR="00FE1498" w:rsidRDefault="00000000">
      <w:r>
        <w:rPr>
          <w:sz w:val="22"/>
        </w:rPr>
        <w:t xml:space="preserve">5.5 Risk Mitigation Matrix for China: Senior decision-makers reviewing China files from the </w:t>
      </w:r>
      <w:proofErr w:type="spellStart"/>
      <w:r>
        <w:rPr>
          <w:sz w:val="22"/>
        </w:rPr>
        <w:t>MyFiles</w:t>
      </w:r>
      <w:proofErr w:type="spellEnd"/>
      <w:r>
        <w:rPr>
          <w:sz w:val="22"/>
        </w:rPr>
        <w:t xml:space="preserve"> repository must weigh macroeconomic exposure (RMB 745 billion (USD 104.2 billion) bilateral merchandise trade; canola seed, potash, wood pulp, and iron ore exports alongside EV, solar cell, and lithium-ion battery tariff investigations) against regulatory shifts in PRC Export Control Law, MOFCOM Dual-Use Item Export Licensing Catalogue (Gallium, Germanium, Antimony, Graphite), and GACC Decree 248/249 Food Facility Registration, ensuring all bilateral commitments include verifiable safeguard clauses.</w:t>
      </w:r>
    </w:p>
    <w:p w14:paraId="211B372A" w14:textId="77777777" w:rsidR="00FE1498" w:rsidRDefault="00000000">
      <w:r>
        <w:rPr>
          <w:sz w:val="22"/>
        </w:rPr>
        <w:t xml:space="preserve">5.6 Research Security, Dual-Use Academic Collaboration, and IP Protection (China): Universities, national laboratories, and corporate R&amp;D centers collaborating with entities in China are subject to research security guidelines covering sensitive technology domains (China International Trade Single Window (GACC) electronic phytosanitary e-Cert verification). Vetting procedures </w:t>
      </w:r>
      <w:r>
        <w:rPr>
          <w:sz w:val="22"/>
        </w:rPr>
        <w:lastRenderedPageBreak/>
        <w:t>coordinated with Ministry of Commerce of the People's Republic of China (MOFCOM), General Administration of Customs (GACC), NDRC, State Council Tariff Commission protect intellectual property while preserving open scientific exchange where appropriate.</w:t>
      </w:r>
    </w:p>
    <w:p w14:paraId="2C200CFE" w14:textId="77777777" w:rsidR="00FE1498" w:rsidRDefault="00000000">
      <w:r>
        <w:rPr>
          <w:sz w:val="22"/>
        </w:rPr>
        <w:t>5.7 Maritime, Aviation, and Multimodal Logistics Security (China): Freight corridors linking domestic ports and air cargo hubs with China require continuous customs-security coordination, advance cargo manifest screening, and resilience planning around MOFCOM end-user and end-use certificates for synthetic and natural spherical graphite, rare earth permanent magnets, and port congestion at Ningbo-Zhoushan and Shenzhen.</w:t>
      </w:r>
    </w:p>
    <w:p w14:paraId="649F31BB" w14:textId="77777777" w:rsidR="00FE1498" w:rsidRDefault="00000000">
      <w:r>
        <w:br w:type="page"/>
      </w:r>
    </w:p>
    <w:p w14:paraId="4A43BB62" w14:textId="77777777" w:rsidR="00FE1498" w:rsidRDefault="00000000">
      <w:r>
        <w:rPr>
          <w:b/>
          <w:sz w:val="28"/>
        </w:rPr>
        <w:lastRenderedPageBreak/>
        <w:t>Page 6 — China Ministerial Summit Talking Points &amp; 2026 Deliverables</w:t>
      </w:r>
    </w:p>
    <w:p w14:paraId="23788063" w14:textId="77777777" w:rsidR="00FE1498" w:rsidRDefault="00000000">
      <w:r>
        <w:rPr>
          <w:sz w:val="22"/>
        </w:rPr>
        <w:t>6.1 Ministerial Summit Objectives, Diplomatic Talking Points, and Deliverables (China): In preparation for upcoming high-level engagements led by Embassy in Beijing (Chaoyang District) &amp; Consulate General in Shanghai, the primary diplomatic objective for China is Convening of the Joint Economic and Trade Commission (JETC) working group on GACC agricultural inspection timelines and maritime shipping lanes. Briefing packages compiled by Kevin Zhang (Senior Trade &amp; Economic Analyst, China &amp; Northeast Asia Division) synthesize inputs from trade, energy, digital, and security divisions.</w:t>
      </w:r>
    </w:p>
    <w:p w14:paraId="60E20B03" w14:textId="77777777" w:rsidR="00FE1498" w:rsidRDefault="00000000">
      <w:r>
        <w:rPr>
          <w:sz w:val="22"/>
        </w:rPr>
        <w:t>6.2 Core Ministerial Talking Points for China Counterparts (Ministry of Commerce of the People's Republic of China (MOFCOM), General Administration of Customs (GACC), NDRC, State Council Tariff Commission): (1) Reaffirm commitment to rules-based bilateral trade and transparent market access across China (RMB 745 billion (USD 104.2 billion) bilateral merchandise trade; canola seed, potash, wood pulp, and iron ore exports alongside EV, solar cell, and lithium-ion battery tariff investigations); (2) Advance practical regulatory alignment on PRC Export Control Law, MOFCOM Dual-Use Item Export Licensing Catalogue (Gallium, Germanium, Antimony, Graphite), and GACC Decree 248/249 Food Facility Registration to minimize unintended barriers for compliant industries; (3) Deepen clean energy and critical mineral collaboration through China National Energy Administration (NEA) Ultra-High Voltage (UHV) transmission and petrochemical LNG import terminals in Guangdong and Zhejiang and MOFCOM end-user and end-use certificates for synthetic and natural spherical graphite, rare earth permanent magnets, and port congestion at Ningbo-Zhoushan and Shenzhen; and (4) Strengthen digital trust, AI safety interoperability, and infrastructure resilience under China International Trade Single Window (GACC) electronic phytosanitary e-Cert verification and PRC Counter-Espionage Law compliance for foreign chambers of commerce and MOFCOM Unreliable Entity List monitoring.</w:t>
      </w:r>
    </w:p>
    <w:p w14:paraId="5ACD6301" w14:textId="77777777" w:rsidR="00FE1498" w:rsidRDefault="00000000">
      <w:r>
        <w:rPr>
          <w:sz w:val="22"/>
        </w:rPr>
        <w:t>6.3 Interdepartmental Coordination and Stakeholder Consultations (China): Domestic industry associations, provincial/regional representatives, and research institutions have been consulted regarding China market conditions. Stakeholders strongly support the targeted outcomes outlined in Convening of the Joint Economic and Trade Commission (JETC) working group on GACC agricultural inspection timelines and maritime shipping lanes and request timely guidance on PRC Export Control Law, MOFCOM Dual-Use Item Export Licensing Catalogue (Gallium, Germanium, Antimony, Graphite), and GACC Decree 248/249 Food Facility Registration.</w:t>
      </w:r>
    </w:p>
    <w:p w14:paraId="145C134E" w14:textId="77777777" w:rsidR="00FE1498" w:rsidRDefault="00000000">
      <w:r>
        <w:rPr>
          <w:sz w:val="22"/>
        </w:rPr>
        <w:t xml:space="preserve">6.4 Implementation Timeline and Next Steps (2026–2027) for China: Q1–Q2: Technical working group sessions with Ministry of Commerce of the People's Republic of China (MOFCOM), General Administration of Customs (GACC), NDRC, State Council Tariff Commission on customs, AI governance, and clean energy standards. Q3: Mid-term review of supply chain resilience metrics (MOFCOM end-user and end-use certificates for synthetic and natural spherical graphite, rare earth permanent magnets, and port congestion at Ningbo-Zhoushan and Shenzhen) and bilateral investment flows. Q4: Ministerial summit execution and formal adoption of Convening of the Joint </w:t>
      </w:r>
      <w:r>
        <w:rPr>
          <w:sz w:val="22"/>
        </w:rPr>
        <w:lastRenderedPageBreak/>
        <w:t>Economic and Trade Commission (JETC) working group on GACC agricultural inspection timelines and maritime shipping lanes.</w:t>
      </w:r>
    </w:p>
    <w:p w14:paraId="2B5D4711" w14:textId="77777777" w:rsidR="00FE1498" w:rsidRDefault="00000000">
      <w:r>
        <w:rPr>
          <w:sz w:val="22"/>
        </w:rPr>
        <w:t xml:space="preserve">6.5 Watchlist Indicators and Trigger Events (China): Desk officers at Embassy in Beijing (Chaoyang District) &amp; Consulate General in Shanghai will monitor legislative calendars, tariff schedule gazettes, and regulatory enforcement actions issued by Ministry of Commerce of the People's Republic of China (MOFCOM), General Administration of Customs (GACC), NDRC, State Council Tariff Commission. Any material change to PRC Export Control Law, MOFCOM Dual-Use Item Export Licensing Catalogue (Gallium, Germanium, Antimony, Graphite), and GACC Decree 248/249 Food Facility Registration triggers an immediate Level 1 and Level 2 retrieval refresh in the </w:t>
      </w:r>
      <w:proofErr w:type="spellStart"/>
      <w:r>
        <w:rPr>
          <w:sz w:val="22"/>
        </w:rPr>
        <w:t>AIde-Mémoire</w:t>
      </w:r>
      <w:proofErr w:type="spellEnd"/>
      <w:r>
        <w:rPr>
          <w:sz w:val="22"/>
        </w:rPr>
        <w:t xml:space="preserve"> system.</w:t>
      </w:r>
    </w:p>
    <w:p w14:paraId="347C25B4" w14:textId="77777777" w:rsidR="00FE1498" w:rsidRDefault="00000000">
      <w:r>
        <w:rPr>
          <w:sz w:val="22"/>
        </w:rPr>
        <w:t xml:space="preserve">6.6 Document Governance &amp; Retrieval Attestation: Document ID GAC-MY-CN-001 | Author: Kevin Zhang (Senior Trade &amp; Economic Analyst, China &amp; Northeast Asia Division) | Repository Folder: </w:t>
      </w:r>
      <w:proofErr w:type="spellStart"/>
      <w:r>
        <w:rPr>
          <w:sz w:val="22"/>
        </w:rPr>
        <w:t>MyFiles</w:t>
      </w:r>
      <w:proofErr w:type="spellEnd"/>
      <w:r>
        <w:rPr>
          <w:sz w:val="22"/>
        </w:rPr>
        <w:t xml:space="preserve"> | SharePoint Classification Column: Country = China | Search Managed Property: RefinableString100 = China | Verified 6-Page Briefing Dossier for Microsoft 365 Copilot Two-Level Retrieval Demo.</w:t>
      </w:r>
    </w:p>
    <w:sectPr w:rsidR="00FE149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E1498"/>
    <w:rsid w:val="0041489B"/>
    <w:rsid w:val="009030DE"/>
    <w:rsid w:val="00FE149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DBA50"/>
  <w15:docId w15:val="{82097E09-C79C-44AC-BFF2-BAC42856D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13</Pages>
  <Words>4030</Words>
  <Characters>22977</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China Bilateral Trade, MOFCOM Export Licensing &amp; Agricultural Tariff Briefing</vt:lpstr>
    </vt:vector>
  </TitlesOfParts>
  <Company>Contoso Global Affairs</Company>
  <LinksUpToDate>false</LinksUpToDate>
  <CharactersWithSpaces>26954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China Bilateral Trade, MOFCOM Export Licensing &amp; Agricultural Tariff Briefing</dc:title>
  <dc:subject>Analyst Working Draft — MOFCOM, GACC Customs &amp; Strategic Export Controls</dc:subject>
  <dc:creator>Kevin Zhang (Senior Trade &amp; Economic Analyst, China &amp; Northeast Asia Division)</dc:creator>
  <cp:keywords>Country:China;RefinableString100:China;Folder:MyFiles</cp:keywords>
  <dc:description>Country=China | RefinableString100=China | Folder=MyFiles | PRC Export Control Law, MOFCOM Dual-Use Item Export Licensing Catalogue (Gallium, Germanium, Antimony, Graphite), and GACC Decree 248/249 Food Facility Registration</dc:description>
  <cp:lastModifiedBy>Pramod Dahale</cp:lastModifiedBy>
  <cp:revision>2</cp:revision>
  <dcterms:created xsi:type="dcterms:W3CDTF">2026-10-20T09:00:00Z</dcterms:created>
  <dcterms:modified xsi:type="dcterms:W3CDTF">2026-10-26T12:56:00Z</dcterms:modified>
  <cp:category>China</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untry">
    <vt:lpwstr>China</vt:lpwstr>
  </property>
  <property fmtid="{D5CDD505-2E9C-101B-9397-08002B2CF9AE}" pid="3" name="RefinableString100">
    <vt:lpwstr>China</vt:lpwstr>
  </property>
  <property fmtid="{D5CDD505-2E9C-101B-9397-08002B2CF9AE}" pid="4" name="RepositoryFolder">
    <vt:lpwstr>MyFiles</vt:lpwstr>
  </property>
  <property fmtid="{D5CDD505-2E9C-101B-9397-08002B2CF9AE}" pid="5" name="DocumentId">
    <vt:lpwstr>GAC-MY-CN-001</vt:lpwstr>
  </property>
</Properties>
</file>