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China Institutional Dossier: Cyber Sovereignty, AI Plus Initiative &amp; Climate Diplomacy</w:t>
      </w:r>
    </w:p>
    <w:p>
      <w:pPr>
        <w:pStyle w:val="Subtitle"/>
      </w:pPr>
      <w:r>
        <w:rPr>
          <w:i/>
          <w:sz w:val="24"/>
        </w:rPr>
        <w:t>Departmental Reference Dossier — PRC Digital Governance, Green Manufacturing &amp; Diplomatic Engagement</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China</w:t>
            </w:r>
          </w:p>
        </w:tc>
      </w:tr>
      <w:tr>
        <w:tc>
          <w:p>
            <w:r>
              <w:rPr>
                <w:b/>
              </w:rPr>
              <w:t>Managed Property (RefinableString100)</w:t>
            </w:r>
          </w:p>
        </w:tc>
        <w:tc>
          <w:p>
            <w:r>
              <w:t>China</w:t>
            </w:r>
          </w:p>
        </w:tc>
      </w:tr>
      <w:tr>
        <w:tc>
          <w:p>
            <w:r>
              <w:rPr>
                <w:b/>
              </w:rPr>
              <w:t>Repository Folder</w:t>
            </w:r>
          </w:p>
        </w:tc>
        <w:tc>
          <w:p>
            <w:r>
              <w:t>OrgFiles</w:t>
            </w:r>
          </w:p>
        </w:tc>
      </w:tr>
      <w:tr>
        <w:tc>
          <w:p>
            <w:r>
              <w:rPr>
                <w:b/>
              </w:rPr>
              <w:t>Document ID</w:t>
            </w:r>
          </w:p>
        </w:tc>
        <w:tc>
          <w:p>
            <w:r>
              <w:t>GAC-ORG-CN-102</w:t>
            </w:r>
          </w:p>
        </w:tc>
      </w:tr>
      <w:tr>
        <w:tc>
          <w:p>
            <w:r>
              <w:rPr>
                <w:b/>
              </w:rPr>
              <w:t>Lead Author / Unit</w:t>
            </w:r>
          </w:p>
        </w:tc>
        <w:tc>
          <w:p>
            <w:r>
              <w:t>Northeast Asia Strategic &amp; Regulatory Affairs Bureau (OrgFiles Repository)</w:t>
            </w:r>
          </w:p>
        </w:tc>
      </w:tr>
      <w:tr>
        <w:tc>
          <w:p>
            <w:r>
              <w:rPr>
                <w:b/>
              </w:rPr>
              <w:t>Diplomatic Mission</w:t>
            </w:r>
          </w:p>
        </w:tc>
        <w:tc>
          <w:p>
            <w:r>
              <w:t>Beijing Diplomatic &amp; Regulatory Monitoring Secretariat</w:t>
            </w:r>
          </w:p>
        </w:tc>
      </w:tr>
      <w:tr>
        <w:tc>
          <w:p>
            <w:r>
              <w:rPr>
                <w:b/>
              </w:rPr>
              <w:t>Key Counterpart Institutions</w:t>
            </w:r>
          </w:p>
        </w:tc>
        <w:tc>
          <w:p>
            <w:r>
              <w:t>Cyberspace Administration of China (CAC), Ministry of Foreign Affairs (MOFA), Ministry of Science and Technology (MOST), Ministry of Ecology and Environment (MEE)</w:t>
            </w:r>
          </w:p>
        </w:tc>
      </w:tr>
      <w:tr>
        <w:tc>
          <w:p>
            <w:r>
              <w:rPr>
                <w:b/>
              </w:rPr>
              <w:t>Flagship Policy Instrument</w:t>
            </w:r>
          </w:p>
        </w:tc>
        <w:tc>
          <w:p>
            <w:r>
              <w:t>State Council 'AI Plus' (AI+) Initiative, PRC Cybersecurity Law / Data Security Law / PIPL Tri-Pillar Data Regime, and China 2030 Carbon Peak / 2060 Carbon Neutrality ('30-60' Dual Carbon Goals)</w:t>
            </w:r>
          </w:p>
        </w:tc>
      </w:tr>
      <w:tr>
        <w:tc>
          <w:p>
            <w:r>
              <w:rPr>
                <w:b/>
              </w:rPr>
              <w:t>SharePoint Target URL</w:t>
            </w:r>
          </w:p>
        </w:tc>
        <w:tc>
          <w:p>
            <w:r>
              <w:t>https://m365cpi50688407.sharepoint.com/sites/site2/Shared Documents/OrgFiles/CN_02_OrgFiles_China_Digital_Regulation_Clean_Tech_And_Diplomatic_Framework.docx</w:t>
            </w:r>
          </w:p>
        </w:tc>
      </w:tr>
    </w:tbl>
    <w:p>
      <w:pPr>
        <w:pStyle w:val="Heading1"/>
      </w:pPr>
      <w:r>
        <w:rPr>
          <w:b/>
          <w:sz w:val="28"/>
        </w:rPr>
        <w:t>Page 1 — Executive Summary &amp; China Jurisdictional Mandate</w:t>
      </w:r>
    </w:p>
    <w:p>
      <w:r>
        <w:rPr>
          <w:sz w:val="22"/>
        </w:rPr>
        <w:t xml:space="preserve">DOCUMENT CLASSIFICATION METADATA — COUNTRY: China | MANAGED PROPERTY: RefinableString100=China | REPOSITORY FOLDER: OrgFiles | DOCUMENT ID: GAC-ORG-CN-102</w:t>
      </w:r>
    </w:p>
    <w:p>
      <w:r>
        <w:rPr>
          <w:sz w:val="22"/>
        </w:rPr>
        <w:t xml:space="preserve">1.1 Executive Mandate and Jurisdictional Scope (China): This Official Departmental Policy Framework &amp; Institutional Dossier (OrgFiles Enterprise Library) provides an authoritative, multi-page assessment exclusively scoped to China. Within the Two-Level Retrieval Architecture for Microsoft 365 Copilot Retrieval API, this document is governed under the SharePoint library column Country = 'China' (mapped in the SharePoint Search Schema to the queryable managed property RefinableString100 = 'China') and stored inside the 'OrgFiles' folder on SharePoint site2 (https://m365cpi50688407.sharepoint.com/sites/site2/Shared Documents/OrgFiles/CN_02_OrgFiles_China_Digital_Regulation_Clean_Tech_And_Diplomatic_Framework.docx).</w:t>
      </w:r>
    </w:p>
    <w:p>
      <w:r>
        <w:rPr>
          <w:sz w:val="22"/>
        </w:rPr>
        <w:t xml:space="preserve">1.2 Lead Diplomatic Mission and Institutional Counterparts in China: Primary operational coordination is led by Beijing Diplomatic &amp; Regulatory Monitoring Secretariat, engaging directly with Cyberspace Administration of China (CAC), Ministry of Foreign Affairs (MOFA), Ministry of Science and Technology (MOST), Ministry of Ecology and Environment (MEE). All policy recommendations, briefing talking points, and risk assessments in this dossier apply strictly to the China bilateral and multilateral theatre.</w:t>
      </w:r>
    </w:p>
    <w:p>
      <w:r>
        <w:rPr>
          <w:sz w:val="22"/>
        </w:rPr>
        <w:t xml:space="preserve">1.3 Flagship Regulatory and Policy Anchor (China): The central policy instrument governing current engagement with China is State Council 'AI Plus' (AI+) Initiative, PRC Cybersecurity Law / Data Security Law / PIPL Tri-Pillar Data Regime, and China 2030 Carbon Peak / 2060 Carbon Neutrality ('30-60' Dual Carbon Goals). Senior officials and briefing analysts preparing ministerial aide-mémoires for China must anchor all commercial, technological, and security assessments in the compliance milestones established by Cyberspace Administration of China (CAC), Ministry of Foreign Affairs (MOFA), Ministry of Science and Technology (MOST), Ministry of Ecology and Environment (MEE).</w:t>
      </w:r>
    </w:p>
    <w:p>
      <w:r>
        <w:rPr>
          <w:sz w:val="22"/>
        </w:rPr>
        <w:t xml:space="preserve">1.4 Summary of Strategic Indicators for China: Bilateral commercial volume and strategic exposure are characterized by Over 200 CAC-registered generative AI models in mainland China; 9.5 million annual New Energy Vehicle (NEV) domestic production and global export surge. Across the 2026–2028 planning horizon, departmental priorities for China center on safeguarding supply chain resilience, aligning clean energy and digital standards, and executing the deliverables defined for Bilateral Diplomatic &amp; Environmental Engagement Protocol covering COP Climate Cooperation, Biodiversity Conservation, and Consular/Commercial Predictability.</w:t>
      </w:r>
    </w:p>
    <w:p>
      <w:r>
        <w:rPr>
          <w:sz w:val="22"/>
        </w:rPr>
        <w:t xml:space="preserve">1.5 Two-Level Retrieval Verification Marker (China / OrgFiles): When a user selects 'China' in the conversational webchat interface, Level 1 deterministic filtering narrows the SharePoint candidate document set to files tagged with Country='China' (RefinableString100:'China'). Level 2 semantic retrieval then extracts grounded passages exclusively from the confirmed China file paths, ensuring zero cross-contamination from other jurisdictions.</w:t>
      </w:r>
    </w:p>
    <w:p>
      <w:r>
        <w:rPr>
          <w:sz w:val="22"/>
        </w:rPr>
        <w:t xml:space="preserve">1.6 Departmental Governance and Quality Assurance (China): In accordance with the AIde-Mémoire Architecture Design Document v2.0 (Section 8.1), all source materials inside OrgFiles classified under Country='China' undergo mandatory metadata verification prior to briefing synthesis. The delegated Microsoft Graph token enforces SharePoint item-level security trimming while preserving strict country-boundary isolation for China throughout both retrieval stages.</w:t>
      </w:r>
    </w:p>
    <w:p>
      <w:r>
        <w:rPr>
          <w:sz w:val="22"/>
        </w:rPr>
        <w:t xml:space="preserve">1.7 Comparative Baseline and Analytical Scope (China): Briefing officers consulting this China document should cross-reference the statistical annexes maintained by Cyberspace Administration of China (CAC), Ministry of Foreign Affairs (MOFA), Ministry of Science and Technology (MOST), Ministry of Ecology and Environment (MEE) and the operational cables transmitted by Beijing Diplomatic &amp; Regulatory Monitoring Secretariat. Key performance indicators tracked across pages 2 through 6 include tariff schedules, clean energy capacity additions, AI conformity deadlines, critical mineral refining shares, and ministerial summit deliverables specific to China.</w:t>
      </w:r>
    </w:p>
    <w:p>
      <w:r>
        <w:br w:type="page"/>
      </w:r>
    </w:p>
    <w:p>
      <w:pPr>
        <w:pStyle w:val="Heading1"/>
      </w:pPr>
      <w:r>
        <w:rPr>
          <w:b/>
          <w:sz w:val="28"/>
        </w:rPr>
        <w:t>Page 2 — China Bilateral Trade, Tariffs &amp; Market Access Analysis</w:t>
      </w:r>
    </w:p>
    <w:p>
      <w:r>
        <w:rPr>
          <w:sz w:val="22"/>
        </w:rPr>
        <w:t xml:space="preserve">2.1 Bilateral Trade Architecture, Tariff Schedules, and Market Access in China: Economic and commercial relations with China are currently shaped by State Council 'AI Plus' (AI+) Initiative, PRC Cybersecurity Law / Data Security Law / PIPL Tri-Pillar Data Regime, and China 2030 Carbon Peak / 2060 Carbon Neutrality ('30-60' Dual Carbon Goals). Quantitative trade tracking confirms Over 200 CAC-registered generative AI models in mainland China; 9.5 million annual New Energy Vehicle (NEV) domestic production and global export surge. Customs authorities and trade negotiators interacting with Cyberspace Administration of China (CAC), Ministry of Foreign Affairs (MOFA), Ministry of Science and Technology (MOST), Ministry of Ecology and Environment (MEE) have prioritized predictable rules of origin, tariff rate quota transparency, and dispute avoidance mechanisms specific to China.</w:t>
      </w:r>
    </w:p>
    <w:p>
      <w:r>
        <w:rPr>
          <w:sz w:val="22"/>
        </w:rPr>
        <w:t xml:space="preserve">2.2 Sectoral Tariff Exposure and Industrial Competitiveness (China): In the China market, industrial exporters face evolving regulatory compliance requirements tied to border adjustments, technical standards, and domestic industrial incentives. Specifically, Closed-loop battery recycling rules under MIIT, green electricity certificates (GECs) for export manufacturers in Jiangsu and Guangdong, and maritime port automation represents the primary operational bottleneck requiring coordinated intervention by Beijing Diplomatic &amp; Regulatory Monitoring Secretariat.</w:t>
      </w:r>
    </w:p>
    <w:p>
      <w:r>
        <w:rPr>
          <w:sz w:val="22"/>
        </w:rPr>
        <w:t xml:space="preserve">2.3 Customs Digitization and Border Facilitation (China): Trade compliance workflows with China increasingly rely on National Data Bureau (NDB) 'Data Elements X' three-year action plan, Eastern Data / Western Computing (Dongshu Xisuan) 8 national computing hubs, and CAC Standard Contract (SCC) for data exports. Exporters and logistics operators routing cargo into China must submit verified electronic declarations demonstrating adherence to China statutory standards, carbon accounting methodologies, and supply-chain origin audits.</w:t>
      </w:r>
    </w:p>
    <w:p>
      <w:r>
        <w:rPr>
          <w:sz w:val="22"/>
        </w:rPr>
        <w:t xml:space="preserve">2.4 Foreign Direct Investment (FDI) and Outbound/Inbound Screening (China): Capital flows between domestic enterprises and China counterparties are subject to heightened scrutiny under Global AI Governance Initiative (GAIGI) promoted by MOFA, strict ICP licensing and content provenance watermarking mandates under CAC Deep Synthesis Regulations. Legal and commercial teams evaluating joint ventures, greenfield facilities, or technology licensing in China must complete pre-transaction assessments covering national security review thresholds and subsidy disclosure rules enforced by Cyberspace Administration of China (CAC), Ministry of Foreign Affairs (MOFA), Ministry of Science and Technology (MOST), Ministry of Ecology and Environment (MEE).</w:t>
      </w:r>
    </w:p>
    <w:p>
      <w:r>
        <w:rPr>
          <w:sz w:val="22"/>
        </w:rPr>
        <w:t xml:space="preserve">2.5 Commercial Policy Recommendations for China: (a) Establish a dedicated bilateral technical working group with Cyberspace Administration of China (CAC), Ministry of Foreign Affairs (MOFA), Ministry of Science and Technology (MOST), Ministry of Ecology and Environment (MEE) to resolve customs and conformity assessment friction; (b) publish updated sector guidance for SMEs exporting to China under State Council 'AI Plus' (AI+) Initiative, PRC Cybersecurity Law / Data Security Law / PIPL Tri-Pillar Data Regime, and China 2030 Carbon Peak / 2060 Carbon Neutrality ('30-60' Dual Carbon Goals); and (c) advance the trade deliverables scheduled for Bilateral Diplomatic &amp; Environmental Engagement Protocol covering COP Climate Cooperation, Biodiversity Conservation, and Consular/Commercial Predictability.</w:t>
      </w:r>
    </w:p>
    <w:p>
      <w:r>
        <w:rPr>
          <w:sz w:val="22"/>
        </w:rPr>
        <w:t xml:space="preserve">2.6 Non-Tariff Barriers, Sanitary/Phytosanitary Standards, and Technical Regulations (China): Beyond headline customs duties, market access into China depends on conformity with product safety, environmental labeling, and sector-specific certification regimes administered by Cyberspace Administration of China (CAC), Ministry of Foreign Affairs (MOFA), Ministry of Science and Technology (MOST), Ministry of Ecology and Environment (MEE). Commercial attachés at Beijing Diplomatic &amp; Regulatory Monitoring Secretariat conduct bi-weekly regulatory horizon scanning to prevent shipment holds at primary China ports of entry.</w:t>
      </w:r>
    </w:p>
    <w:p>
      <w:r>
        <w:rPr>
          <w:sz w:val="22"/>
        </w:rPr>
        <w:t xml:space="preserve">2.7 Bilateral Trade Dispute Resolution and Institutional Mechanisms (China): Where divergent interpretations arise under State Council 'AI Plus' (AI+) Initiative, PRC Cybersecurity Law / Data Security Law / PIPL Tri-Pillar Data Regime, and China 2030 Carbon Peak / 2060 Carbon Neutrality ('30-60' Dual Carbon Goals), structured consultations through the relevant bilateral trade committees provide an early-resolution channel prior to formal arbitral or multilateral proceedings. All evidentiary submissions for China trade reviews are indexed under Country='China' (RefinableString100='China').</w:t>
      </w:r>
    </w:p>
    <w:p>
      <w:r>
        <w:br w:type="page"/>
      </w:r>
    </w:p>
    <w:p>
      <w:pPr>
        <w:pStyle w:val="Heading1"/>
      </w:pPr>
      <w:r>
        <w:rPr>
          <w:b/>
          <w:sz w:val="28"/>
        </w:rPr>
        <w:t>Page 3 — China Clean Energy Transition &amp; Critical Minerals Strategy</w:t>
      </w:r>
    </w:p>
    <w:p>
      <w:r>
        <w:rPr>
          <w:sz w:val="22"/>
        </w:rPr>
        <w:t xml:space="preserve">3.1 Clean Energy Transition, Decarbonization Policies, and Grid Infrastructure in China: Energy security and net-zero industrial transformation form a cornerstone of engagement with China. Under China National Carbon Market (world's largest ETS by covered emissions at 5.1 billion tonnes CO2) and Desert Gobi荒漠 (Shagehuang) 450 GW wind-solar megabase buildout, China has accelerated capital deployment into renewable power generation, clean hydrogen infrastructure, and industrial electrification overseen by Cyberspace Administration of China (CAC), Ministry of Foreign Affairs (MOFA), Ministry of Science and Technology (MOST), Ministry of Ecology and Environment (MEE).</w:t>
      </w:r>
    </w:p>
    <w:p>
      <w:r>
        <w:rPr>
          <w:sz w:val="22"/>
        </w:rPr>
        <w:t xml:space="preserve">3.2 Carbon Pricing, Emissions Trading, and Clean Tech Subsidies (China): Industrial decarbonization in China is reinforced through statutory carbon pricing and targeted fiscal instruments linked to State Council 'AI Plus' (AI+) Initiative, PRC Cybersecurity Law / Data Security Law / PIPL Tri-Pillar Data Regime, and China 2030 Carbon Peak / 2060 Carbon Neutrality ('30-60' Dual Carbon Goals). As documented in recent economic filings (Over 200 CAC-registered generative AI models in mainland China; 9.5 million annual New Energy Vehicle (NEV) domestic production and global export surge), energy-intensive manufacturers operating in or exporting to China must account for embedded lifecycle emissions, verified clean power purchase agreements, and certified low-carbon fuel standards.</w:t>
      </w:r>
    </w:p>
    <w:p>
      <w:r>
        <w:rPr>
          <w:sz w:val="22"/>
        </w:rPr>
        <w:t xml:space="preserve">3.3 Critical Minerals, Battery Value Chains, and Refining Capacity (China): Securing resilient upstream and midstream mineral supply chains is directly tied to Closed-loop battery recycling rules under MIIT, green electricity certificates (GECs) for export manufacturers in Jiangsu and Guangdong, and maritime port automation. Within the China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(China): Bilateral technical teams led by Beijing Diplomatic &amp; Regulatory Monitoring Secretariat are advancing mutual recognition of guarantee-of-origin certificates, carbon intensity accounting, and clean fuel logistics under China National Carbon Market (world's largest ETS by covered emissions at 5.1 billion tonnes CO2) and Desert Gobi荒漠 (Shagehuang) 450 GW wind-solar megabase buildout. Harmonizing verification protocols with Cyberspace Administration of China (CAC), Ministry of Foreign Affairs (MOFA), Ministry of Science and Technology (MOST), Ministry of Ecology and Environment (MEE) prevents duplicative testing and unlocks long-term offtake financing.</w:t>
      </w:r>
    </w:p>
    <w:p>
      <w:r>
        <w:rPr>
          <w:sz w:val="22"/>
        </w:rPr>
        <w:t xml:space="preserve">3.5 Energy &amp; Climate Action Plan for China: Priority actions for the upcoming quarter include finalizing clean energy technical annexes under Bilateral Diplomatic &amp; Environmental Engagement Protocol covering COP Climate Cooperation, Biodiversity Conservation, and Consular/Commercial Predictability, aligning sustainable finance taxonomies with China regulators, and expanding joint R&amp;D on grid resilience and next-generation nuclear/storage technologies.</w:t>
      </w:r>
    </w:p>
    <w:p>
      <w:r>
        <w:rPr>
          <w:sz w:val="22"/>
        </w:rPr>
        <w:t xml:space="preserve">3.6 Industrial Electrification and Green Manufacturing Benchmarks (China): Heavy industry transition plans across China require deep integration between zero-emission baseload generation, grid-scale battery storage, and green hydrogen feedstocks. Project developers engaging with Cyberspace Administration of China (CAC), Ministry of Foreign Affairs (MOFA), Ministry of Science and Technology (MOST), Ministry of Ecology and Environment (MEE) under China National Carbon Market (world's largest ETS by covered emissions at 5.1 billion tonnes CO2) and Desert Gobi荒漠 (Shagehuang) 450 GW wind-solar megabase buildout must satisfy stringent lifecycle greenhouse gas reduction thresholds and domestic content or diversification benchmarks.</w:t>
      </w:r>
    </w:p>
    <w:p>
      <w:r>
        <w:rPr>
          <w:sz w:val="22"/>
        </w:rPr>
        <w:t xml:space="preserve">3.7 Climate Finance, Green Bonds, and Transition Taxonomy Alignment (China): Institutional investors financing decarbonization projects in China rely on standardized climate disclosure and taxonomy frameworks overseen by Cyberspace Administration of China (CAC), Ministry of Foreign Affairs (MOFA), Ministry of Science and Technology (MOST), Ministry of Ecology and Environment (MEE). Aligning bilateral export credit and project finance guarantees with China sustainability standards remains a key deliverable under Bilateral Diplomatic &amp; Environmental Engagement Protocol covering COP Climate Cooperation, Biodiversity Conservation, and Consular/Commercial Predictability.</w:t>
      </w:r>
    </w:p>
    <w:p>
      <w:r>
        <w:br w:type="page"/>
      </w:r>
    </w:p>
    <w:p>
      <w:pPr>
        <w:pStyle w:val="Heading1"/>
      </w:pPr>
      <w:r>
        <w:rPr>
          <w:b/>
          <w:sz w:val="28"/>
        </w:rPr>
        <w:t>Page 4 — China AI Governance, Digital Sovereignty &amp; Cyber Regulation</w:t>
      </w:r>
    </w:p>
    <w:p>
      <w:r>
        <w:rPr>
          <w:sz w:val="22"/>
        </w:rPr>
        <w:t xml:space="preserve">4.1 Artificial Intelligence Governance, Digital Sovereignty, and Data Regulation in China: The digital regulatory landscape in China is defined by National Data Bureau (NDB) 'Data Elements X' three-year action plan, Eastern Data / Western Computing (Dongshu Xisuan) 8 national computing hubs, and CAC Standard Contract (SCC) for data exports and enforced by Cyberspace Administration of China (CAC), Ministry of Foreign Affairs (MOFA), Ministry of Science and Technology (MOST), Ministry of Ecology and Environment (MEE). Organizations deploying foundation models, high-risk AI systems, or cloud infrastructure in China must comply with mandatory risk classifications, algorithmic transparency obligations, and post-market monitoring.</w:t>
      </w:r>
    </w:p>
    <w:p>
      <w:r>
        <w:rPr>
          <w:sz w:val="22"/>
        </w:rPr>
        <w:t xml:space="preserve">4.2 Cross-Border Data Flows, Privacy Compliance, and Localization Rules (China): Data governance under State Council 'AI Plus' (AI+) Initiative, PRC Cybersecurity Law / Data Security Law / PIPL Tri-Pillar Data Regime, and China 2030 Carbon Peak / 2060 Carbon Neutrality ('30-60' Dual Carbon Goals) establishes strict legal mechanisms for international data transfers involving China. Enterprises operating across China must maintain validated transfer instruments, privacy impact assessments, and cybersecurity safeguards aligned with Global AI Governance Initiative (GAIGI) promoted by MOFA, strict ICP licensing and content provenance watermarking mandates under CAC Deep Synthesis Regulations.</w:t>
      </w:r>
    </w:p>
    <w:p>
      <w:r>
        <w:rPr>
          <w:sz w:val="22"/>
        </w:rPr>
        <w:t xml:space="preserve">4.3 Semiconductor Ecosystems, High-Performance Computing, and Quantum Research (China): Technological competitiveness in China is anchored by strategic investments in advanced microelectronics, AI compute infrastructure, and quantum technologies (National Data Bureau (NDB) 'Data Elements X' three-year action plan, Eastern Data / Western Computing (Dongshu Xisuan) 8 national computing hubs, and CAC Standard Contract (SCC) for data exports). Supply-chain coordination focusing on Closed-loop battery recycling rules under MIIT, green electricity certificates (GECs) for export manufacturers in Jiangsu and Guangdong, and maritime port automation is essential to mitigate fabrication bottlenecks and export control disruptions.</w:t>
      </w:r>
    </w:p>
    <w:p>
      <w:r>
        <w:rPr>
          <w:sz w:val="22"/>
        </w:rPr>
        <w:t xml:space="preserve">4.4 Cybersecurity Standards and Critical Infrastructure Protection (China): Under Global AI Governance Initiative (GAIGI) promoted by MOFA, strict ICP licensing and content provenance watermarking mandates under CAC Deep Synthesis Regulations, China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China: Analysts preparing briefing materials for China should highlight regulatory interoperability opportunities between domestic AI safety institutes and Cyberspace Administration of China (CAC), Ministry of Foreign Affairs (MOFA), Ministry of Science and Technology (MOST), Ministry of Ecology and Environment (MEE), while tracking compliance deadlines under State Council 'AI Plus' (AI+) Initiative, PRC Cybersecurity Law / Data Security Law / PIPL Tri-Pillar Data Regime, and China 2030 Carbon Peak / 2060 Carbon Neutrality ('30-60' Dual Carbon Goals).</w:t>
      </w:r>
    </w:p>
    <w:p>
      <w:r>
        <w:rPr>
          <w:sz w:val="22"/>
        </w:rPr>
        <w:t xml:space="preserve">4.6 Frontier AI Model Evaluation, Red-Teaming, and Algorithmic Auditing (China): Technical standards bodies in China (Cyberspace Administration of China (CAC), Ministry of Foreign Affairs (MOFA), Ministry of Science and Technology (MOST), Ministry of Ecology and Environment (MEE)) have instituted structured evaluation protocols for general-purpose and frontier AI models covering systemic safety, cybersecurity resilience, synthetic content provenance, and copyright transparency under National Data Bureau (NDB) 'Data Elements X' three-year action plan, Eastern Data / Western Computing (Dongshu Xisuan) 8 national computing hubs, and CAC Standard Contract (SCC) for data exports.</w:t>
      </w:r>
    </w:p>
    <w:p>
      <w:r>
        <w:rPr>
          <w:sz w:val="22"/>
        </w:rPr>
        <w:t xml:space="preserve">4.7 Digital Public Infrastructure, Cloud Sovereignty, and Quantum Readiness (China): Public-sector cloud procurement and digital identity ecosystems in China increasingly mandate cryptographic agility, post-quantum migration roadmaps, and operational resilience verified by Cyberspace Administration of China (CAC), Ministry of Foreign Affairs (MOFA), Ministry of Science and Technology (MOST), Ministry of Ecology and Environment (MEE). Bilateral science and technology cooperation is coordinated through Beijing Diplomatic &amp; Regulatory Monitoring Secretariat.</w:t>
      </w:r>
    </w:p>
    <w:p>
      <w:r>
        <w:br w:type="page"/>
      </w:r>
    </w:p>
    <w:p>
      <w:pPr>
        <w:pStyle w:val="Heading1"/>
      </w:pPr>
      <w:r>
        <w:rPr>
          <w:b/>
          <w:sz w:val="28"/>
        </w:rPr>
        <w:t>Page 5 — China Strategic Security, Supply Chains &amp; Export Controls</w:t>
      </w:r>
    </w:p>
    <w:p>
      <w:r>
        <w:rPr>
          <w:sz w:val="22"/>
        </w:rPr>
        <w:t xml:space="preserve">5.1 Strategic Security Posture, Economic Resilience, and Geopolitical Risk in China: The broader security and resilience environment in China is governed by Global AI Governance Initiative (GAIGI) promoted by MOFA, strict ICP licensing and content provenance watermarking mandates under CAC Deep Synthesis Regulations. Assessments coordinated through Beijing Diplomatic &amp; Regulatory Monitoring Secretariat emphasize the close linkage between national security, critical infrastructure protection, and economic de-risking across the China theatre.</w:t>
      </w:r>
    </w:p>
    <w:p>
      <w:r>
        <w:rPr>
          <w:sz w:val="22"/>
        </w:rPr>
        <w:t xml:space="preserve">5.2 Critical Supply Chain Vulnerabilities and De-Risking Measures (China): Detailed supply-chain mapping for China identifies high-priority dependencies in Closed-loop battery recycling rules under MIIT, green electricity certificates (GECs) for export manufacturers in Jiangsu and Guangdong, and maritime port automation. In partnership with Cyberspace Administration of China (CAC), Ministry of Foreign Affairs (MOFA), Ministry of Science and Technology (MOST), Ministry of Ecology and Environment (MEE), contingency protocols have been established to monitor chokepoints, diversify supplier concentration, and maintain strategic buffer inventories.</w:t>
      </w:r>
    </w:p>
    <w:p>
      <w:r>
        <w:rPr>
          <w:sz w:val="22"/>
        </w:rPr>
        <w:t xml:space="preserve">5.3 Export Controls, Sanctions Enforcement, and Dual-Use Technology Screening (China): Compliance with dual-use export control regimes and multilateral restrictive measures is a top operational priority when engaging with China. Regulatory authorities (Cyberspace Administration of China (CAC), Ministry of Foreign Affairs (MOFA), Ministry of Science and Technology (MOST), Ministry of Ecology and Environment (MEE)) enforce rigorous end-user verification, intangible technology transfer controls, and financial screening tied to State Council 'AI Plus' (AI+) Initiative, PRC Cybersecurity Law / Data Security Law / PIPL Tri-Pillar Data Regime, and China 2030 Carbon Peak / 2060 Carbon Neutrality ('30-60' Dual Carbon Goals).</w:t>
      </w:r>
    </w:p>
    <w:p>
      <w:r>
        <w:rPr>
          <w:sz w:val="22"/>
        </w:rPr>
        <w:t xml:space="preserve">5.4 Infrastructure Resilience and Crisis Response Mechanisms (China): Joint preparedness exercises and early-warning consultations in China address maritime logistics security, subsea cable and pipeline protection, cyber threat intelligence sharing, and emergency supply-chain coordination under Global AI Governance Initiative (GAIGI) promoted by MOFA, strict ICP licensing and content provenance watermarking mandates under CAC Deep Synthesis Regulations.</w:t>
      </w:r>
    </w:p>
    <w:p>
      <w:r>
        <w:rPr>
          <w:sz w:val="22"/>
        </w:rPr>
        <w:t xml:space="preserve">5.5 Risk Mitigation Matrix for China: Senior decision-makers reviewing China files from the OrgFiles repository must weigh macroeconomic exposure (Over 200 CAC-registered generative AI models in mainland China; 9.5 million annual New Energy Vehicle (NEV) domestic production and global export surge) against regulatory shifts in State Council 'AI Plus' (AI+) Initiative, PRC Cybersecurity Law / Data Security Law / PIPL Tri-Pillar Data Regime, and China 2030 Carbon Peak / 2060 Carbon Neutrality ('30-60' Dual Carbon Goals), ensuring all bilateral commitments include verifiable safeguard clauses.</w:t>
      </w:r>
    </w:p>
    <w:p>
      <w:r>
        <w:rPr>
          <w:sz w:val="22"/>
        </w:rPr>
        <w:t xml:space="preserve">5.6 Research Security, Dual-Use Academic Collaboration, and IP Protection (China): Universities, national laboratories, and corporate R&amp;D centers collaborating with entities in China are subject to research security guidelines covering sensitive technology domains (National Data Bureau (NDB) 'Data Elements X' three-year action plan, Eastern Data / Western Computing (Dongshu Xisuan) 8 national computing hubs, and CAC Standard Contract (SCC) for data exports). Vetting procedures coordinated with Cyberspace Administration of China (CAC), Ministry of Foreign Affairs (MOFA), Ministry of Science and Technology (MOST), Ministry of Ecology and Environment (MEE) protect intellectual property while preserving open scientific exchange where appropriate.</w:t>
      </w:r>
    </w:p>
    <w:p>
      <w:r>
        <w:rPr>
          <w:sz w:val="22"/>
        </w:rPr>
        <w:t xml:space="preserve">5.7 Maritime, Aviation, and Multimodal Logistics Security (China): Freight corridors linking domestic ports and air cargo hubs with China require continuous customs-security coordination, advance cargo manifest screening, and resilience planning around Closed-loop battery recycling rules under MIIT, green electricity certificates (GECs) for export manufacturers in Jiangsu and Guangdong, and maritime port automation.</w:t>
      </w:r>
    </w:p>
    <w:p>
      <w:r>
        <w:br w:type="page"/>
      </w:r>
    </w:p>
    <w:p>
      <w:pPr>
        <w:pStyle w:val="Heading1"/>
      </w:pPr>
      <w:r>
        <w:rPr>
          <w:b/>
          <w:sz w:val="28"/>
        </w:rPr>
        <w:t>Page 6 — China Ministerial Summit Talking Points &amp; 2026 Deliverables</w:t>
      </w:r>
    </w:p>
    <w:p>
      <w:r>
        <w:rPr>
          <w:sz w:val="22"/>
        </w:rPr>
        <w:t xml:space="preserve">6.1 Ministerial Summit Objectives, Diplomatic Talking Points, and Deliverables (China): In preparation for upcoming high-level engagements led by Beijing Diplomatic &amp; Regulatory Monitoring Secretariat, the primary diplomatic objective for China is Bilateral Diplomatic &amp; Environmental Engagement Protocol covering COP Climate Cooperation, Biodiversity Conservation, and Consular/Commercial Predictability. Briefing packages compiled by Northeast Asia Strategic &amp; Regulatory Affairs Bureau (OrgFiles Repository) synthesize inputs from trade, energy, digital, and security divisions.</w:t>
      </w:r>
    </w:p>
    <w:p>
      <w:r>
        <w:rPr>
          <w:sz w:val="22"/>
        </w:rPr>
        <w:t xml:space="preserve">6.2 Core Ministerial Talking Points for China Counterparts (Cyberspace Administration of China (CAC), Ministry of Foreign Affairs (MOFA), Ministry of Science and Technology (MOST), Ministry of Ecology and Environment (MEE)): (1) Reaffirm commitment to rules-based bilateral trade and transparent market access across China (Over 200 CAC-registered generative AI models in mainland China; 9.5 million annual New Energy Vehicle (NEV) domestic production and global export surge); (2) Advance practical regulatory alignment on State Council 'AI Plus' (AI+) Initiative, PRC Cybersecurity Law / Data Security Law / PIPL Tri-Pillar Data Regime, and China 2030 Carbon Peak / 2060 Carbon Neutrality ('30-60' Dual Carbon Goals) to minimize unintended barriers for compliant industries; (3) Deepen clean energy and critical mineral collaboration through China National Carbon Market (world's largest ETS by covered emissions at 5.1 billion tonnes CO2) and Desert Gobi荒漠 (Shagehuang) 450 GW wind-solar megabase buildout and Closed-loop battery recycling rules under MIIT, green electricity certificates (GECs) for export manufacturers in Jiangsu and Guangdong, and maritime port automation; and (4) Strengthen digital trust, AI safety interoperability, and infrastructure resilience under National Data Bureau (NDB) 'Data Elements X' three-year action plan, Eastern Data / Western Computing (Dongshu Xisuan) 8 national computing hubs, and CAC Standard Contract (SCC) for data exports and Global AI Governance Initiative (GAIGI) promoted by MOFA, strict ICP licensing and content provenance watermarking mandates under CAC Deep Synthesis Regulations.</w:t>
      </w:r>
    </w:p>
    <w:p>
      <w:r>
        <w:rPr>
          <w:sz w:val="22"/>
        </w:rPr>
        <w:t xml:space="preserve">6.3 Interdepartmental Coordination and Stakeholder Consultations (China): Domestic industry associations, provincial/regional representatives, and research institutions have been consulted regarding China market conditions. Stakeholders strongly support the targeted outcomes outlined in Bilateral Diplomatic &amp; Environmental Engagement Protocol covering COP Climate Cooperation, Biodiversity Conservation, and Consular/Commercial Predictability and request timely guidance on State Council 'AI Plus' (AI+) Initiative, PRC Cybersecurity Law / Data Security Law / PIPL Tri-Pillar Data Regime, and China 2030 Carbon Peak / 2060 Carbon Neutrality ('30-60' Dual Carbon Goals).</w:t>
      </w:r>
    </w:p>
    <w:p>
      <w:r>
        <w:rPr>
          <w:sz w:val="22"/>
        </w:rPr>
        <w:t xml:space="preserve">6.4 Implementation Timeline and Next Steps (2026–2027) for China: Q1–Q2: Technical working group sessions with Cyberspace Administration of China (CAC), Ministry of Foreign Affairs (MOFA), Ministry of Science and Technology (MOST), Ministry of Ecology and Environment (MEE) on customs, AI governance, and clean energy standards. Q3: Mid-term review of supply chain resilience metrics (Closed-loop battery recycling rules under MIIT, green electricity certificates (GECs) for export manufacturers in Jiangsu and Guangdong, and maritime port automation) and bilateral investment flows. Q4: Ministerial summit execution and formal adoption of Bilateral Diplomatic &amp; Environmental Engagement Protocol covering COP Climate Cooperation, Biodiversity Conservation, and Consular/Commercial Predictability.</w:t>
      </w:r>
    </w:p>
    <w:p>
      <w:r>
        <w:rPr>
          <w:sz w:val="22"/>
        </w:rPr>
        <w:t xml:space="preserve">6.5 Watchlist Indicators and Trigger Events (China): Desk officers at Beijing Diplomatic &amp; Regulatory Monitoring Secretariat will monitor legislative calendars, tariff schedule gazettes, and regulatory enforcement actions issued by Cyberspace Administration of China (CAC), Ministry of Foreign Affairs (MOFA), Ministry of Science and Technology (MOST), Ministry of Ecology and Environment (MEE). Any material change to State Council 'AI Plus' (AI+) Initiative, PRC Cybersecurity Law / Data Security Law / PIPL Tri-Pillar Data Regime, and China 2030 Carbon Peak / 2060 Carbon Neutrality ('30-60' Dual Carbon Goals) triggers an immediate Level 1 and Level 2 retrieval refresh in the AIde-Mémoire system.</w:t>
      </w:r>
    </w:p>
    <w:p>
      <w:r>
        <w:rPr>
          <w:sz w:val="22"/>
        </w:rPr>
        <w:t xml:space="preserve">6.6 Document Governance &amp; Retrieval Attestation: Document ID GAC-ORG-CN-102 | Author: Northeast Asia Strategic &amp; Regulatory Affairs Bureau (OrgFiles Repository) | Repository Folder: OrgFiles | SharePoint Classification Column: Country = China | Search Managed Property: RefinableString100 = China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China Institutional Dossier: Cyber Sovereignty, AI Plus Initiative &amp; Climate Diplomacy</dc:title>
  <dc:subject>Departmental Reference Dossier — PRC Digital Governance, Green Manufacturing &amp; Diplomatic Engagement</dc:subject>
  <dc:creator>Northeast Asia Strategic &amp; Regulatory Affairs Bureau (OrgFiles Repository)</dc:creator>
  <cp:keywords>Country:China;RefinableString100:China;Folder:OrgFiles</cp:keywords>
  <dc:description>Country=China | RefinableString100=China | Folder=OrgFiles | State Council 'AI Plus' (AI+) Initiative, PRC Cybersecurity Law / Data Security Law / PIPL Tri-Pillar Data Regime, and China 2030 Carbon Peak / 2060 Carbon Neutrality ('30-60' Dual Carbon Goals)</dc:description>
  <cp:category>China</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China</vt:lpwstr>
  </property>
  <property fmtid="{D5CDD505-2E9C-101B-9397-08002B2CF9AE}" pid="3" name="RefinableString100">
    <vt:lpwstr>China</vt:lpwstr>
  </property>
  <property fmtid="{D5CDD505-2E9C-101B-9397-08002B2CF9AE}" pid="4" name="RepositoryFolder">
    <vt:lpwstr>OrgFiles</vt:lpwstr>
  </property>
  <property fmtid="{D5CDD505-2E9C-101B-9397-08002B2CF9AE}" pid="5" name="DocumentId">
    <vt:lpwstr>GAC-ORG-CN-102</vt:lpwstr>
  </property>
</Properties>
</file>