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Title"/>
      </w:pPr>
      <w:r>
        <w:rPr>
          <w:b/>
          <w:sz w:val="32"/>
        </w:rPr>
        <w:t>Europe Institutional Report: Eurozone Macroeconomic Outlook, ECB Policy &amp; Capital Markets</w:t>
      </w:r>
    </w:p>
    <w:p>
      <w:pPr>
        <w:pStyle w:val="Subtitle"/>
      </w:pPr>
      <w:r>
        <w:rPr>
          <w:i/>
          <w:sz w:val="24"/>
        </w:rPr>
        <w:t>Departmental Reference Dossier — European Central Bank, NextGenerationEU &amp; Fiscal Governance</w:t>
      </w:r>
    </w:p>
    <w:tbl>
      <w:tblPr>
        <w:tblBorders>
          <w:top w:val="single" w:sz="6" w:space="0" w:color="2F5597"/>
          <w:left w:val="single" w:sz="6" w:space="0" w:color="2F5597"/>
          <w:bottom w:val="single" w:sz="6" w:space="0" w:color="2F5597"/>
          <w:right w:val="single" w:sz="6" w:space="0" w:color="2F5597"/>
          <w:insideH w:val="single" w:sz="4" w:space="0" w:color="D9E2F3"/>
          <w:insideV w:val="single" w:sz="4" w:space="0" w:color="D9E2F3"/>
        </w:tblBorders>
      </w:tblPr>
      <w:tr>
        <w:tc>
          <w:p>
            <w:r>
              <w:rPr>
                <w:b/>
              </w:rPr>
              <w:t>Country (SharePoint Column)</w:t>
            </w:r>
          </w:p>
        </w:tc>
        <w:tc>
          <w:p>
            <w:r>
              <w:t>Europe</w:t>
            </w:r>
          </w:p>
        </w:tc>
      </w:tr>
      <w:tr>
        <w:tc>
          <w:p>
            <w:r>
              <w:rPr>
                <w:b/>
              </w:rPr>
              <w:t>Managed Property (RefinableString100)</w:t>
            </w:r>
          </w:p>
        </w:tc>
        <w:tc>
          <w:p>
            <w:r>
              <w:t>Europe</w:t>
            </w:r>
          </w:p>
        </w:tc>
      </w:tr>
      <w:tr>
        <w:tc>
          <w:p>
            <w:r>
              <w:rPr>
                <w:b/>
              </w:rPr>
              <w:t>Repository Folder</w:t>
            </w:r>
          </w:p>
        </w:tc>
        <w:tc>
          <w:p>
            <w:r>
              <w:t>OrgFiles</w:t>
            </w:r>
          </w:p>
        </w:tc>
      </w:tr>
      <w:tr>
        <w:tc>
          <w:p>
            <w:r>
              <w:rPr>
                <w:b/>
              </w:rPr>
              <w:t>Document ID</w:t>
            </w:r>
          </w:p>
        </w:tc>
        <w:tc>
          <w:p>
            <w:r>
              <w:t>GAC-ORG-EU-106</w:t>
            </w:r>
          </w:p>
        </w:tc>
      </w:tr>
      <w:tr>
        <w:tc>
          <w:p>
            <w:r>
              <w:rPr>
                <w:b/>
              </w:rPr>
              <w:t>Lead Author / Unit</w:t>
            </w:r>
          </w:p>
        </w:tc>
        <w:tc>
          <w:p>
            <w:r>
              <w:t>Office of the Chief Economist — Europe &amp; Eurozone Analysis Unit (OrgFiles Repository)</w:t>
            </w:r>
          </w:p>
        </w:tc>
      </w:tr>
      <w:tr>
        <w:tc>
          <w:p>
            <w:r>
              <w:rPr>
                <w:b/>
              </w:rPr>
              <w:t>Diplomatic Mission</w:t>
            </w:r>
          </w:p>
        </w:tc>
        <w:tc>
          <w:p>
            <w:r>
              <w:t>Financial &amp; Economic Counsellor Network (Frankfurt / Brussels / Luxembourg)</w:t>
            </w:r>
          </w:p>
        </w:tc>
      </w:tr>
      <w:tr>
        <w:tc>
          <w:p>
            <w:r>
              <w:rPr>
                <w:b/>
              </w:rPr>
              <w:t>Key Counterpart Institutions</w:t>
            </w:r>
          </w:p>
        </w:tc>
        <w:tc>
          <w:p>
            <w:r>
              <w:t>European Central Bank (ECB - Frankfurt), Eurogroup, European Stability Mechanism (ESM), European Securities and Markets Authority (ESMA)</w:t>
            </w:r>
          </w:p>
        </w:tc>
      </w:tr>
      <w:tr>
        <w:tc>
          <w:p>
            <w:r>
              <w:rPr>
                <w:b/>
              </w:rPr>
              <w:t>Flagship Policy Instrument</w:t>
            </w:r>
          </w:p>
        </w:tc>
        <w:tc>
          <w:p>
            <w:r>
              <w:t>Reformed EU Economic Governance Framework (Stability and Growth Pact debt sustainability trajectories), NextGenerationEU (EUR 806.9 billion Recovery and Resilience Facility), and Capital Markets Union (Savings and Investments Union)</w:t>
            </w:r>
          </w:p>
        </w:tc>
      </w:tr>
      <w:tr>
        <w:tc>
          <w:p>
            <w:r>
              <w:rPr>
                <w:b/>
              </w:rPr>
              <w:t>SharePoint Target URL</w:t>
            </w:r>
          </w:p>
        </w:tc>
        <w:tc>
          <w:p>
            <w:r>
              <w:t>https://m365cpi50688407.sharepoint.com/sites/site2/Shared Documents/OrgFiles/EU_06_OrgFiles_European_Macroeconomic_Outlook_And_ECB_Fiscal_Report.docx</w:t>
            </w:r>
          </w:p>
        </w:tc>
      </w:tr>
    </w:tbl>
    <w:p>
      <w:pPr>
        <w:pStyle w:val="Heading1"/>
      </w:pPr>
      <w:r>
        <w:rPr>
          <w:b/>
          <w:sz w:val="28"/>
        </w:rPr>
        <w:t>Page 1 — Executive Summary &amp; Europe Jurisdictional Mandate</w:t>
      </w:r>
    </w:p>
    <w:p>
      <w:r>
        <w:rPr>
          <w:sz w:val="22"/>
        </w:rPr>
        <w:t xml:space="preserve">DOCUMENT CLASSIFICATION METADATA — COUNTRY: Europe | MANAGED PROPERTY: RefinableString100=Europe | REPOSITORY FOLDER: OrgFiles | DOCUMENT ID: GAC-ORG-EU-106</w:t>
      </w:r>
    </w:p>
    <w:p>
      <w:r>
        <w:rPr>
          <w:sz w:val="22"/>
        </w:rPr>
        <w:t xml:space="preserve">1.1 Executive Mandate and Jurisdictional Scope (Europe): This Official Departmental Policy Framework &amp; Institutional Dossier (OrgFiles Enterprise Library) provides an authoritative, multi-page assessment exclusively scoped to Europe. Within the Two-Level Retrieval Architecture for Microsoft 365 Copilot Retrieval API, this document is governed under the SharePoint library column Country = 'Europe' (mapped in the SharePoint Search Schema to the queryable managed property RefinableString100 = 'Europe') and stored inside the 'OrgFiles' folder on SharePoint site2 (https://m365cpi50688407.sharepoint.com/sites/site2/Shared Documents/OrgFiles/EU_06_OrgFiles_European_Macroeconomic_Outlook_And_ECB_Fiscal_Report.docx).</w:t>
      </w:r>
    </w:p>
    <w:p>
      <w:r>
        <w:rPr>
          <w:sz w:val="22"/>
        </w:rPr>
        <w:t xml:space="preserve">1.2 Lead Diplomatic Mission and Institutional Counterparts in Europe: Primary operational coordination is led by Financial &amp; Economic Counsellor Network (Frankfurt / Brussels / Luxembourg), engaging directly with European Central Bank (ECB - Frankfurt), Eurogroup, European Stability Mechanism (ESM), European Securities and Markets Authority (ESMA). All policy recommendations, briefing talking points, and risk assessments in this dossier apply strictly to the Europe bilateral and multilateral theatre.</w:t>
      </w:r>
    </w:p>
    <w:p>
      <w:r>
        <w:rPr>
          <w:sz w:val="22"/>
        </w:rPr>
        <w:t xml:space="preserve">1.3 Flagship Regulatory and Policy Anchor (Europe): The central policy instrument governing current engagement with Europe is Reformed EU Economic Governance Framework (Stability and Growth Pact debt sustainability trajectories), NextGenerationEU (EUR 806.9 billion Recovery and Resilience Facility), and Capital Markets Union (Savings and Investments Union). Senior officials and briefing analysts preparing ministerial aide-mémoires for Europe must anchor all commercial, technological, and security assessments in the compliance milestones established by European Central Bank (ECB - Frankfurt), Eurogroup, European Stability Mechanism (ESM), European Securities and Markets Authority (ESMA).</w:t>
      </w:r>
    </w:p>
    <w:p>
      <w:r>
        <w:rPr>
          <w:sz w:val="22"/>
        </w:rPr>
        <w:t xml:space="preserve">1.4 Summary of Strategic Indicators for Europe: Bilateral commercial volume and strategic exposure are characterized by EUR 15.8 trillion Eurozone GDP; 1.3% projected real GDP growth across the 20 Euro-area states; EUR 650 billion NextGenerationEU green and digital bond issuance. Across the 2026–2028 planning horizon, departmental priorities for Europe center on safeguarding supply chain resilience, aligning clean energy and digital standards, and executing the deliverables defined for Bilateral Finance Ministries Macroeconomic Dialogue in Frankfurt on sustainable finance taxonomies, Digital Euro interoperability, and sovereign debt resilience.</w:t>
      </w:r>
    </w:p>
    <w:p>
      <w:r>
        <w:rPr>
          <w:sz w:val="22"/>
        </w:rPr>
        <w:t xml:space="preserve">1.5 Two-Level Retrieval Verification Marker (Europe / OrgFiles): When a user selects 'Europe' in the conversational webchat interface, Level 1 deterministic filtering narrows the SharePoint candidate document set to files tagged with Country='Europe' (RefinableString100:'Europe'). Level 2 semantic retrieval then extracts grounded passages exclusively from the confirmed Europe file paths, ensuring zero cross-contamination from other jurisdictions.</w:t>
      </w:r>
    </w:p>
    <w:p>
      <w:r>
        <w:rPr>
          <w:sz w:val="22"/>
        </w:rPr>
        <w:t xml:space="preserve">1.6 Departmental Governance and Quality Assurance (Europe): In accordance with the AIde-Mémoire Architecture Design Document v2.0 (Section 8.1), all source materials inside OrgFiles classified under Country='Europe' undergo mandatory metadata verification prior to briefing synthesis. The delegated Microsoft Graph token enforces SharePoint item-level security trimming while preserving strict country-boundary isolation for Europe throughout both retrieval stages.</w:t>
      </w:r>
    </w:p>
    <w:p>
      <w:r>
        <w:rPr>
          <w:sz w:val="22"/>
        </w:rPr>
        <w:t xml:space="preserve">1.7 Comparative Baseline and Analytical Scope (Europe): Briefing officers consulting this Europe document should cross-reference the statistical annexes maintained by European Central Bank (ECB - Frankfurt), Eurogroup, European Stability Mechanism (ESM), European Securities and Markets Authority (ESMA) and the operational cables transmitted by Financial &amp; Economic Counsellor Network (Frankfurt / Brussels / Luxembourg). Key performance indicators tracked across pages 2 through 6 include tariff schedules, clean energy capacity additions, AI conformity deadlines, critical mineral refining shares, and ministerial summit deliverables specific to Europe.</w:t>
      </w:r>
    </w:p>
    <w:p>
      <w:r>
        <w:br w:type="page"/>
      </w:r>
    </w:p>
    <w:p>
      <w:pPr>
        <w:pStyle w:val="Heading1"/>
      </w:pPr>
      <w:r>
        <w:rPr>
          <w:b/>
          <w:sz w:val="28"/>
        </w:rPr>
        <w:t>Page 2 — Europe Bilateral Trade, Tariffs &amp; Market Access Analysis</w:t>
      </w:r>
    </w:p>
    <w:p>
      <w:r>
        <w:rPr>
          <w:sz w:val="22"/>
        </w:rPr>
        <w:t xml:space="preserve">2.1 Bilateral Trade Architecture, Tariff Schedules, and Market Access in Europe: Economic and commercial relations with Europe are currently shaped by Reformed EU Economic Governance Framework (Stability and Growth Pact debt sustainability trajectories), NextGenerationEU (EUR 806.9 billion Recovery and Resilience Facility), and Capital Markets Union (Savings and Investments Union). Quantitative trade tracking confirms EUR 15.8 trillion Eurozone GDP; 1.3% projected real GDP growth across the 20 Euro-area states; EUR 650 billion NextGenerationEU green and digital bond issuance. Customs authorities and trade negotiators interacting with European Central Bank (ECB - Frankfurt), Eurogroup, European Stability Mechanism (ESM), European Securities and Markets Authority (ESMA) have prioritized predictable rules of origin, tariff rate quota transparency, and dispute avoidance mechanisms specific to Europe.</w:t>
      </w:r>
    </w:p>
    <w:p>
      <w:r>
        <w:rPr>
          <w:sz w:val="22"/>
        </w:rPr>
        <w:t xml:space="preserve">2.2 Sectoral Tariff Exposure and Industrial Competitiveness (Europe): In the Europe market, industrial exporters face evolving regulatory compliance requirements tied to border adjustments, technical standards, and domestic industrial incentives. Specifically, Draghi Report on European Competitiveness recommendations: closing the EUR 800 billion annual investment gap in European innovation, energy grids, and defense represents the primary operational bottleneck requiring coordinated intervention by Financial &amp; Economic Counsellor Network (Frankfurt / Brussels / Luxembourg).</w:t>
      </w:r>
    </w:p>
    <w:p>
      <w:r>
        <w:rPr>
          <w:sz w:val="22"/>
        </w:rPr>
        <w:t xml:space="preserve">2.3 Customs Digitization and Border Facilitation (Europe): Trade compliance workflows with Europe increasingly rely on ECB Digital Euro preparation phase (offline privacy, pan-European retail settlement, and DLT wholesale central bank money trials). Exporters and logistics operators routing cargo into Europe must submit verified electronic declarations demonstrating adherence to Europe statutory standards, carbon accounting methodologies, and supply-chain origin audits.</w:t>
      </w:r>
    </w:p>
    <w:p>
      <w:r>
        <w:rPr>
          <w:sz w:val="22"/>
        </w:rPr>
        <w:t xml:space="preserve">2.4 Foreign Direct Investment (FDI) and Outbound/Inbound Screening (Europe): Capital flows between domestic enterprises and Europe counterparties are subject to heightened scrutiny under European Anti-Money Laundering Authority (AMLA - Frankfurt) establishment and G7 Immobilized Sovereign Assets windfall revenue facility. Legal and commercial teams evaluating joint ventures, greenfield facilities, or technology licensing in Europe must complete pre-transaction assessments covering national security review thresholds and subsidy disclosure rules enforced by European Central Bank (ECB - Frankfurt), Eurogroup, European Stability Mechanism (ESM), European Securities and Markets Authority (ESMA).</w:t>
      </w:r>
    </w:p>
    <w:p>
      <w:r>
        <w:rPr>
          <w:sz w:val="22"/>
        </w:rPr>
        <w:t xml:space="preserve">2.5 Commercial Policy Recommendations for Europe: (a) Establish a dedicated bilateral technical working group with European Central Bank (ECB - Frankfurt), Eurogroup, European Stability Mechanism (ESM), European Securities and Markets Authority (ESMA) to resolve customs and conformity assessment friction; (b) publish updated sector guidance for SMEs exporting to Europe under Reformed EU Economic Governance Framework (Stability and Growth Pact debt sustainability trajectories), NextGenerationEU (EUR 806.9 billion Recovery and Resilience Facility), and Capital Markets Union (Savings and Investments Union); and (c) advance the trade deliverables scheduled for Bilateral Finance Ministries Macroeconomic Dialogue in Frankfurt on sustainable finance taxonomies, Digital Euro interoperability, and sovereign debt resilience.</w:t>
      </w:r>
    </w:p>
    <w:p>
      <w:r>
        <w:rPr>
          <w:sz w:val="22"/>
        </w:rPr>
        <w:t xml:space="preserve">2.6 Non-Tariff Barriers, Sanitary/Phytosanitary Standards, and Technical Regulations (Europe): Beyond headline customs duties, market access into Europe depends on conformity with product safety, environmental labeling, and sector-specific certification regimes administered by European Central Bank (ECB - Frankfurt), Eurogroup, European Stability Mechanism (ESM), European Securities and Markets Authority (ESMA). Commercial attachés at Financial &amp; Economic Counsellor Network (Frankfurt / Brussels / Luxembourg) conduct bi-weekly regulatory horizon scanning to prevent shipment holds at primary Europe ports of entry.</w:t>
      </w:r>
    </w:p>
    <w:p>
      <w:r>
        <w:rPr>
          <w:sz w:val="22"/>
        </w:rPr>
        <w:t xml:space="preserve">2.7 Bilateral Trade Dispute Resolution and Institutional Mechanisms (Europe): Where divergent interpretations arise under Reformed EU Economic Governance Framework (Stability and Growth Pact debt sustainability trajectories), NextGenerationEU (EUR 806.9 billion Recovery and Resilience Facility), and Capital Markets Union (Savings and Investments Union), structured consultations through the relevant bilateral trade committees provide an early-resolution channel prior to formal arbitral or multilateral proceedings. All evidentiary submissions for Europe trade reviews are indexed under Country='Europe' (RefinableString100='Europe').</w:t>
      </w:r>
    </w:p>
    <w:p>
      <w:r>
        <w:br w:type="page"/>
      </w:r>
    </w:p>
    <w:p>
      <w:pPr>
        <w:pStyle w:val="Heading1"/>
      </w:pPr>
      <w:r>
        <w:rPr>
          <w:b/>
          <w:sz w:val="28"/>
        </w:rPr>
        <w:t>Page 3 — Europe Clean Energy Transition &amp; Critical Minerals Strategy</w:t>
      </w:r>
    </w:p>
    <w:p>
      <w:r>
        <w:rPr>
          <w:sz w:val="22"/>
        </w:rPr>
        <w:t xml:space="preserve">3.1 Clean Energy Transition, Decarbonization Policies, and Grid Infrastructure in Europe: Energy security and net-zero industrial transformation form a cornerstone of engagement with Europe. Under ECB climate stress-testing of European banking balance sheets and European Green Bond Standard (EuGB) taxonomy alignment, Europe has accelerated capital deployment into renewable power generation, clean hydrogen infrastructure, and industrial electrification overseen by European Central Bank (ECB - Frankfurt), Eurogroup, European Stability Mechanism (ESM), European Securities and Markets Authority (ESMA).</w:t>
      </w:r>
    </w:p>
    <w:p>
      <w:r>
        <w:rPr>
          <w:sz w:val="22"/>
        </w:rPr>
        <w:t xml:space="preserve">3.2 Carbon Pricing, Emissions Trading, and Clean Tech Subsidies (Europe): Industrial decarbonization in Europe is reinforced through statutory carbon pricing and targeted fiscal instruments linked to Reformed EU Economic Governance Framework (Stability and Growth Pact debt sustainability trajectories), NextGenerationEU (EUR 806.9 billion Recovery and Resilience Facility), and Capital Markets Union (Savings and Investments Union). As documented in recent economic filings (EUR 15.8 trillion Eurozone GDP; 1.3% projected real GDP growth across the 20 Euro-area states; EUR 650 billion NextGenerationEU green and digital bond issuance), energy-intensive manufacturers operating in or exporting to Europe must account for embedded lifecycle emissions, verified clean power purchase agreements, and certified low-carbon fuel standards.</w:t>
      </w:r>
    </w:p>
    <w:p>
      <w:r>
        <w:rPr>
          <w:sz w:val="22"/>
        </w:rPr>
        <w:t xml:space="preserve">3.3 Critical Minerals, Battery Value Chains, and Refining Capacity (Europe): Securing resilient upstream and midstream mineral supply chains is directly tied to Draghi Report on European Competitiveness recommendations: closing the EUR 800 billion annual investment gap in European innovation, energy grids, and defense. Within the Europe jurisdiction, policy measures prioritize domestic and allied processing capacity for lithium, nickel, cobalt, battery-grade graphite, and rare earth permanent magnets required for electric vehicles and grid storage.</w:t>
      </w:r>
    </w:p>
    <w:p>
      <w:r>
        <w:rPr>
          <w:sz w:val="22"/>
        </w:rPr>
        <w:t xml:space="preserve">3.4 Cross-Border Energy Corridors and Clean Fuel Certification (Europe): Bilateral technical teams led by Financial &amp; Economic Counsellor Network (Frankfurt / Brussels / Luxembourg) are advancing mutual recognition of guarantee-of-origin certificates, carbon intensity accounting, and clean fuel logistics under ECB climate stress-testing of European banking balance sheets and European Green Bond Standard (EuGB) taxonomy alignment. Harmonizing verification protocols with European Central Bank (ECB - Frankfurt), Eurogroup, European Stability Mechanism (ESM), European Securities and Markets Authority (ESMA) prevents duplicative testing and unlocks long-term offtake financing.</w:t>
      </w:r>
    </w:p>
    <w:p>
      <w:r>
        <w:rPr>
          <w:sz w:val="22"/>
        </w:rPr>
        <w:t xml:space="preserve">3.5 Energy &amp; Climate Action Plan for Europe: Priority actions for the upcoming quarter include finalizing clean energy technical annexes under Bilateral Finance Ministries Macroeconomic Dialogue in Frankfurt on sustainable finance taxonomies, Digital Euro interoperability, and sovereign debt resilience, aligning sustainable finance taxonomies with Europe regulators, and expanding joint R&amp;D on grid resilience and next-generation nuclear/storage technologies.</w:t>
      </w:r>
    </w:p>
    <w:p>
      <w:r>
        <w:rPr>
          <w:sz w:val="22"/>
        </w:rPr>
        <w:t xml:space="preserve">3.6 Industrial Electrification and Green Manufacturing Benchmarks (Europe): Heavy industry transition plans across Europe require deep integration between zero-emission baseload generation, grid-scale battery storage, and green hydrogen feedstocks. Project developers engaging with European Central Bank (ECB - Frankfurt), Eurogroup, European Stability Mechanism (ESM), European Securities and Markets Authority (ESMA) under ECB climate stress-testing of European banking balance sheets and European Green Bond Standard (EuGB) taxonomy alignment must satisfy stringent lifecycle greenhouse gas reduction thresholds and domestic content or diversification benchmarks.</w:t>
      </w:r>
    </w:p>
    <w:p>
      <w:r>
        <w:rPr>
          <w:sz w:val="22"/>
        </w:rPr>
        <w:t xml:space="preserve">3.7 Climate Finance, Green Bonds, and Transition Taxonomy Alignment (Europe): Institutional investors financing decarbonization projects in Europe rely on standardized climate disclosure and taxonomy frameworks overseen by European Central Bank (ECB - Frankfurt), Eurogroup, European Stability Mechanism (ESM), European Securities and Markets Authority (ESMA). Aligning bilateral export credit and project finance guarantees with Europe sustainability standards remains a key deliverable under Bilateral Finance Ministries Macroeconomic Dialogue in Frankfurt on sustainable finance taxonomies, Digital Euro interoperability, and sovereign debt resilience.</w:t>
      </w:r>
    </w:p>
    <w:p>
      <w:r>
        <w:br w:type="page"/>
      </w:r>
    </w:p>
    <w:p>
      <w:pPr>
        <w:pStyle w:val="Heading1"/>
      </w:pPr>
      <w:r>
        <w:rPr>
          <w:b/>
          <w:sz w:val="28"/>
        </w:rPr>
        <w:t>Page 4 — Europe AI Governance, Digital Sovereignty &amp; Cyber Regulation</w:t>
      </w:r>
    </w:p>
    <w:p>
      <w:r>
        <w:rPr>
          <w:sz w:val="22"/>
        </w:rPr>
        <w:t xml:space="preserve">4.1 Artificial Intelligence Governance, Digital Sovereignty, and Data Regulation in Europe: The digital regulatory landscape in Europe is defined by ECB Digital Euro preparation phase (offline privacy, pan-European retail settlement, and DLT wholesale central bank money trials) and enforced by European Central Bank (ECB - Frankfurt), Eurogroup, European Stability Mechanism (ESM), European Securities and Markets Authority (ESMA). Organizations deploying foundation models, high-risk AI systems, or cloud infrastructure in Europe must comply with mandatory risk classifications, algorithmic transparency obligations, and post-market monitoring.</w:t>
      </w:r>
    </w:p>
    <w:p>
      <w:r>
        <w:rPr>
          <w:sz w:val="22"/>
        </w:rPr>
        <w:t xml:space="preserve">4.2 Cross-Border Data Flows, Privacy Compliance, and Localization Rules (Europe): Data governance under Reformed EU Economic Governance Framework (Stability and Growth Pact debt sustainability trajectories), NextGenerationEU (EUR 806.9 billion Recovery and Resilience Facility), and Capital Markets Union (Savings and Investments Union) establishes strict legal mechanisms for international data transfers involving Europe. Enterprises operating across Europe must maintain validated transfer instruments, privacy impact assessments, and cybersecurity safeguards aligned with European Anti-Money Laundering Authority (AMLA - Frankfurt) establishment and G7 Immobilized Sovereign Assets windfall revenue facility.</w:t>
      </w:r>
    </w:p>
    <w:p>
      <w:r>
        <w:rPr>
          <w:sz w:val="22"/>
        </w:rPr>
        <w:t xml:space="preserve">4.3 Semiconductor Ecosystems, High-Performance Computing, and Quantum Research (Europe): Technological competitiveness in Europe is anchored by strategic investments in advanced microelectronics, AI compute infrastructure, and quantum technologies (ECB Digital Euro preparation phase (offline privacy, pan-European retail settlement, and DLT wholesale central bank money trials)). Supply-chain coordination focusing on Draghi Report on European Competitiveness recommendations: closing the EUR 800 billion annual investment gap in European innovation, energy grids, and defense is essential to mitigate fabrication bottlenecks and export control disruptions.</w:t>
      </w:r>
    </w:p>
    <w:p>
      <w:r>
        <w:rPr>
          <w:sz w:val="22"/>
        </w:rPr>
        <w:t xml:space="preserve">4.4 Cybersecurity Standards and Critical Infrastructure Protection (Europe): Under European Anti-Money Laundering Authority (AMLA - Frankfurt) establishment and G7 Immobilized Sovereign Assets windfall revenue facility, Europe authorities require rapid incident reporting, software bill of materials (SBOM) attestation, and hardware supply-chain integrity across telecommunications, financial services, energy grids, and government networks.</w:t>
      </w:r>
    </w:p>
    <w:p>
      <w:r>
        <w:rPr>
          <w:sz w:val="22"/>
        </w:rPr>
        <w:t xml:space="preserve">4.5 Digital &amp; AI Policy Directives for Europe: Analysts preparing briefing materials for Europe should highlight regulatory interoperability opportunities between domestic AI safety institutes and European Central Bank (ECB - Frankfurt), Eurogroup, European Stability Mechanism (ESM), European Securities and Markets Authority (ESMA), while tracking compliance deadlines under Reformed EU Economic Governance Framework (Stability and Growth Pact debt sustainability trajectories), NextGenerationEU (EUR 806.9 billion Recovery and Resilience Facility), and Capital Markets Union (Savings and Investments Union).</w:t>
      </w:r>
    </w:p>
    <w:p>
      <w:r>
        <w:rPr>
          <w:sz w:val="22"/>
        </w:rPr>
        <w:t xml:space="preserve">4.6 Frontier AI Model Evaluation, Red-Teaming, and Algorithmic Auditing (Europe): Technical standards bodies in Europe (European Central Bank (ECB - Frankfurt), Eurogroup, European Stability Mechanism (ESM), European Securities and Markets Authority (ESMA)) have instituted structured evaluation protocols for general-purpose and frontier AI models covering systemic safety, cybersecurity resilience, synthetic content provenance, and copyright transparency under ECB Digital Euro preparation phase (offline privacy, pan-European retail settlement, and DLT wholesale central bank money trials).</w:t>
      </w:r>
    </w:p>
    <w:p>
      <w:r>
        <w:rPr>
          <w:sz w:val="22"/>
        </w:rPr>
        <w:t xml:space="preserve">4.7 Digital Public Infrastructure, Cloud Sovereignty, and Quantum Readiness (Europe): Public-sector cloud procurement and digital identity ecosystems in Europe increasingly mandate cryptographic agility, post-quantum migration roadmaps, and operational resilience verified by European Central Bank (ECB - Frankfurt), Eurogroup, European Stability Mechanism (ESM), European Securities and Markets Authority (ESMA). Bilateral science and technology cooperation is coordinated through Financial &amp; Economic Counsellor Network (Frankfurt / Brussels / Luxembourg).</w:t>
      </w:r>
    </w:p>
    <w:p>
      <w:r>
        <w:br w:type="page"/>
      </w:r>
    </w:p>
    <w:p>
      <w:pPr>
        <w:pStyle w:val="Heading1"/>
      </w:pPr>
      <w:r>
        <w:rPr>
          <w:b/>
          <w:sz w:val="28"/>
        </w:rPr>
        <w:t>Page 5 — Europe Strategic Security, Supply Chains &amp; Export Controls</w:t>
      </w:r>
    </w:p>
    <w:p>
      <w:r>
        <w:rPr>
          <w:sz w:val="22"/>
        </w:rPr>
        <w:t xml:space="preserve">5.1 Strategic Security Posture, Economic Resilience, and Geopolitical Risk in Europe: The broader security and resilience environment in Europe is governed by European Anti-Money Laundering Authority (AMLA - Frankfurt) establishment and G7 Immobilized Sovereign Assets windfall revenue facility. Assessments coordinated through Financial &amp; Economic Counsellor Network (Frankfurt / Brussels / Luxembourg) emphasize the close linkage between national security, critical infrastructure protection, and economic de-risking across the Europe theatre.</w:t>
      </w:r>
    </w:p>
    <w:p>
      <w:r>
        <w:rPr>
          <w:sz w:val="22"/>
        </w:rPr>
        <w:t xml:space="preserve">5.2 Critical Supply Chain Vulnerabilities and De-Risking Measures (Europe): Detailed supply-chain mapping for Europe identifies high-priority dependencies in Draghi Report on European Competitiveness recommendations: closing the EUR 800 billion annual investment gap in European innovation, energy grids, and defense. In partnership with European Central Bank (ECB - Frankfurt), Eurogroup, European Stability Mechanism (ESM), European Securities and Markets Authority (ESMA), contingency protocols have been established to monitor chokepoints, diversify supplier concentration, and maintain strategic buffer inventories.</w:t>
      </w:r>
    </w:p>
    <w:p>
      <w:r>
        <w:rPr>
          <w:sz w:val="22"/>
        </w:rPr>
        <w:t xml:space="preserve">5.3 Export Controls, Sanctions Enforcement, and Dual-Use Technology Screening (Europe): Compliance with dual-use export control regimes and multilateral restrictive measures is a top operational priority when engaging with Europe. Regulatory authorities (European Central Bank (ECB - Frankfurt), Eurogroup, European Stability Mechanism (ESM), European Securities and Markets Authority (ESMA)) enforce rigorous end-user verification, intangible technology transfer controls, and financial screening tied to Reformed EU Economic Governance Framework (Stability and Growth Pact debt sustainability trajectories), NextGenerationEU (EUR 806.9 billion Recovery and Resilience Facility), and Capital Markets Union (Savings and Investments Union).</w:t>
      </w:r>
    </w:p>
    <w:p>
      <w:r>
        <w:rPr>
          <w:sz w:val="22"/>
        </w:rPr>
        <w:t xml:space="preserve">5.4 Infrastructure Resilience and Crisis Response Mechanisms (Europe): Joint preparedness exercises and early-warning consultations in Europe address maritime logistics security, subsea cable and pipeline protection, cyber threat intelligence sharing, and emergency supply-chain coordination under European Anti-Money Laundering Authority (AMLA - Frankfurt) establishment and G7 Immobilized Sovereign Assets windfall revenue facility.</w:t>
      </w:r>
    </w:p>
    <w:p>
      <w:r>
        <w:rPr>
          <w:sz w:val="22"/>
        </w:rPr>
        <w:t xml:space="preserve">5.5 Risk Mitigation Matrix for Europe: Senior decision-makers reviewing Europe files from the OrgFiles repository must weigh macroeconomic exposure (EUR 15.8 trillion Eurozone GDP; 1.3% projected real GDP growth across the 20 Euro-area states; EUR 650 billion NextGenerationEU green and digital bond issuance) against regulatory shifts in Reformed EU Economic Governance Framework (Stability and Growth Pact debt sustainability trajectories), NextGenerationEU (EUR 806.9 billion Recovery and Resilience Facility), and Capital Markets Union (Savings and Investments Union), ensuring all bilateral commitments include verifiable safeguard clauses.</w:t>
      </w:r>
    </w:p>
    <w:p>
      <w:r>
        <w:rPr>
          <w:sz w:val="22"/>
        </w:rPr>
        <w:t xml:space="preserve">5.6 Research Security, Dual-Use Academic Collaboration, and IP Protection (Europe): Universities, national laboratories, and corporate R&amp;D centers collaborating with entities in Europe are subject to research security guidelines covering sensitive technology domains (ECB Digital Euro preparation phase (offline privacy, pan-European retail settlement, and DLT wholesale central bank money trials)). Vetting procedures coordinated with European Central Bank (ECB - Frankfurt), Eurogroup, European Stability Mechanism (ESM), European Securities and Markets Authority (ESMA) protect intellectual property while preserving open scientific exchange where appropriate.</w:t>
      </w:r>
    </w:p>
    <w:p>
      <w:r>
        <w:rPr>
          <w:sz w:val="22"/>
        </w:rPr>
        <w:t xml:space="preserve">5.7 Maritime, Aviation, and Multimodal Logistics Security (Europe): Freight corridors linking domestic ports and air cargo hubs with Europe require continuous customs-security coordination, advance cargo manifest screening, and resilience planning around Draghi Report on European Competitiveness recommendations: closing the EUR 800 billion annual investment gap in European innovation, energy grids, and defense.</w:t>
      </w:r>
    </w:p>
    <w:p>
      <w:r>
        <w:br w:type="page"/>
      </w:r>
    </w:p>
    <w:p>
      <w:pPr>
        <w:pStyle w:val="Heading1"/>
      </w:pPr>
      <w:r>
        <w:rPr>
          <w:b/>
          <w:sz w:val="28"/>
        </w:rPr>
        <w:t>Page 6 — Europe Ministerial Summit Talking Points &amp; 2026 Deliverables</w:t>
      </w:r>
    </w:p>
    <w:p>
      <w:r>
        <w:rPr>
          <w:sz w:val="22"/>
        </w:rPr>
        <w:t xml:space="preserve">6.1 Ministerial Summit Objectives, Diplomatic Talking Points, and Deliverables (Europe): In preparation for upcoming high-level engagements led by Financial &amp; Economic Counsellor Network (Frankfurt / Brussels / Luxembourg), the primary diplomatic objective for Europe is Bilateral Finance Ministries Macroeconomic Dialogue in Frankfurt on sustainable finance taxonomies, Digital Euro interoperability, and sovereign debt resilience. Briefing packages compiled by Office of the Chief Economist — Europe &amp; Eurozone Analysis Unit (OrgFiles Repository) synthesize inputs from trade, energy, digital, and security divisions.</w:t>
      </w:r>
    </w:p>
    <w:p>
      <w:r>
        <w:rPr>
          <w:sz w:val="22"/>
        </w:rPr>
        <w:t xml:space="preserve">6.2 Core Ministerial Talking Points for Europe Counterparts (European Central Bank (ECB - Frankfurt), Eurogroup, European Stability Mechanism (ESM), European Securities and Markets Authority (ESMA)): (1) Reaffirm commitment to rules-based bilateral trade and transparent market access across Europe (EUR 15.8 trillion Eurozone GDP; 1.3% projected real GDP growth across the 20 Euro-area states; EUR 650 billion NextGenerationEU green and digital bond issuance); (2) Advance practical regulatory alignment on Reformed EU Economic Governance Framework (Stability and Growth Pact debt sustainability trajectories), NextGenerationEU (EUR 806.9 billion Recovery and Resilience Facility), and Capital Markets Union (Savings and Investments Union) to minimize unintended barriers for compliant industries; (3) Deepen clean energy and critical mineral collaboration through ECB climate stress-testing of European banking balance sheets and European Green Bond Standard (EuGB) taxonomy alignment and Draghi Report on European Competitiveness recommendations: closing the EUR 800 billion annual investment gap in European innovation, energy grids, and defense; and (4) Strengthen digital trust, AI safety interoperability, and infrastructure resilience under ECB Digital Euro preparation phase (offline privacy, pan-European retail settlement, and DLT wholesale central bank money trials) and European Anti-Money Laundering Authority (AMLA - Frankfurt) establishment and G7 Immobilized Sovereign Assets windfall revenue facility.</w:t>
      </w:r>
    </w:p>
    <w:p>
      <w:r>
        <w:rPr>
          <w:sz w:val="22"/>
        </w:rPr>
        <w:t xml:space="preserve">6.3 Interdepartmental Coordination and Stakeholder Consultations (Europe): Domestic industry associations, provincial/regional representatives, and research institutions have been consulted regarding Europe market conditions. Stakeholders strongly support the targeted outcomes outlined in Bilateral Finance Ministries Macroeconomic Dialogue in Frankfurt on sustainable finance taxonomies, Digital Euro interoperability, and sovereign debt resilience and request timely guidance on Reformed EU Economic Governance Framework (Stability and Growth Pact debt sustainability trajectories), NextGenerationEU (EUR 806.9 billion Recovery and Resilience Facility), and Capital Markets Union (Savings and Investments Union).</w:t>
      </w:r>
    </w:p>
    <w:p>
      <w:r>
        <w:rPr>
          <w:sz w:val="22"/>
        </w:rPr>
        <w:t xml:space="preserve">6.4 Implementation Timeline and Next Steps (2026–2027) for Europe: Q1–Q2: Technical working group sessions with European Central Bank (ECB - Frankfurt), Eurogroup, European Stability Mechanism (ESM), European Securities and Markets Authority (ESMA) on customs, AI governance, and clean energy standards. Q3: Mid-term review of supply chain resilience metrics (Draghi Report on European Competitiveness recommendations: closing the EUR 800 billion annual investment gap in European innovation, energy grids, and defense) and bilateral investment flows. Q4: Ministerial summit execution and formal adoption of Bilateral Finance Ministries Macroeconomic Dialogue in Frankfurt on sustainable finance taxonomies, Digital Euro interoperability, and sovereign debt resilience.</w:t>
      </w:r>
    </w:p>
    <w:p>
      <w:r>
        <w:rPr>
          <w:sz w:val="22"/>
        </w:rPr>
        <w:t xml:space="preserve">6.5 Watchlist Indicators and Trigger Events (Europe): Desk officers at Financial &amp; Economic Counsellor Network (Frankfurt / Brussels / Luxembourg) will monitor legislative calendars, tariff schedule gazettes, and regulatory enforcement actions issued by European Central Bank (ECB - Frankfurt), Eurogroup, European Stability Mechanism (ESM), European Securities and Markets Authority (ESMA). Any material change to Reformed EU Economic Governance Framework (Stability and Growth Pact debt sustainability trajectories), NextGenerationEU (EUR 806.9 billion Recovery and Resilience Facility), and Capital Markets Union (Savings and Investments Union) triggers an immediate Level 1 and Level 2 retrieval refresh in the AIde-Mémoire system.</w:t>
      </w:r>
    </w:p>
    <w:p>
      <w:r>
        <w:rPr>
          <w:sz w:val="22"/>
        </w:rPr>
        <w:t xml:space="preserve">6.6 Document Governance &amp; Retrieval Attestation: Document ID GAC-ORG-EU-106 | Author: Office of the Chief Economist — Europe &amp; Eurozone Analysis Unit (OrgFiles Repository) | Repository Folder: OrgFiles | SharePoint Classification Column: Country = Europe | Search Managed Property: RefinableString100 = Europe | Verified 6-Page Briefing Dossier for Microsoft 365 Copilot Two-Level Retrieval Demo.</w:t>
      </w:r>
    </w:p>
    <w:sectPr/>
  </w:body>
</w:document>
</file>

<file path=docProps/app.xml><?xml version="1.0" encoding="utf-8"?>
<Properties xmlns="http://schemas.openxmlformats.org/officeDocument/2006/extended-properties" xmlns:vt="http://schemas.openxmlformats.org/officeDocument/2006/docPropsVTypes">
  <Application>Microsoft Office Word</Application>
  <Pages>6</Pages>
  <Company>Contoso Global Affairs</Company>
</Properties>
</file>

<file path=docProps/core.xml><?xml version="1.0" encoding="utf-8"?>
<cp:coreProperties xmlns:cp="http://schemas.openxmlformats.org/package/2006/metadata/core-properties" xmlns:dc="http://purl.org/dc/elements/1.1/" xmlns:dcterms="http://purl.org/dc/terms/" xmlns:xsi="http://www.w3.org/2001/XMLSchema-instance">
  <dc:title>Europe Institutional Report: Eurozone Macroeconomic Outlook, ECB Policy &amp; Capital Markets</dc:title>
  <dc:subject>Departmental Reference Dossier — European Central Bank, NextGenerationEU &amp; Fiscal Governance</dc:subject>
  <dc:creator>Office of the Chief Economist — Europe &amp; Eurozone Analysis Unit (OrgFiles Repository)</dc:creator>
  <cp:keywords>Country:Europe;RefinableString100:Europe;Folder:OrgFiles</cp:keywords>
  <dc:description>Country=Europe | RefinableString100=Europe | Folder=OrgFiles | Reformed EU Economic Governance Framework (Stability and Growth Pact debt sustainability trajectories), NextGenerationEU (EUR 806.9 billion Recovery and Resilience Facility), and Capital Markets Union (Savings and Investments Union)</dc:description>
  <cp:category>Europe</cp:category>
  <dcterms:created xsi:type="dcterms:W3CDTF">2026-10-20T09:00:00Z</dcterms:created>
  <dcterms:modified xsi:type="dcterms:W3CDTF">2026-10-24T10:00:00Z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untry">
    <vt:lpwstr>Europe</vt:lpwstr>
  </property>
  <property fmtid="{D5CDD505-2E9C-101B-9397-08002B2CF9AE}" pid="3" name="RefinableString100">
    <vt:lpwstr>Europe</vt:lpwstr>
  </property>
  <property fmtid="{D5CDD505-2E9C-101B-9397-08002B2CF9AE}" pid="4" name="RepositoryFolder">
    <vt:lpwstr>OrgFiles</vt:lpwstr>
  </property>
  <property fmtid="{D5CDD505-2E9C-101B-9397-08002B2CF9AE}" pid="5" name="DocumentId">
    <vt:lpwstr>GAC-ORG-EU-106</vt:lpwstr>
  </property>
</Properties>
</file>