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SetuBid Tender Deduplication — Question 2</w:t>
      </w:r>
    </w:p>
    <w:p>
      <w:pPr>
        <w:pStyle w:val="Heading1"/>
      </w:pPr>
      <w:r>
        <w:t>Overview</w:t>
      </w:r>
    </w:p>
    <w:p>
      <w:r>
        <w:t>This project implements and measures a retrieval-oriented tender deduplication system using text normalization, 5-character shingles, MinHash, LSH, SQLite relational storage, indexed retrieval, labelled-pair evaluation, and candidate-work measurements.</w:t>
      </w:r>
    </w:p>
    <w:p>
      <w:pPr>
        <w:pStyle w:val="Heading1"/>
      </w:pPr>
      <w:r>
        <w:t>Corpus</w:t>
      </w:r>
    </w:p>
    <w:p>
      <w:r>
        <w:t>Measured corpus:</w:t>
      </w:r>
    </w:p>
    <w:p>
      <w:pPr>
        <w:pStyle w:val="ListBullet"/>
      </w:pPr>
      <w:r>
        <w:t>12,000 notices</w:t>
      </w:r>
    </w:p>
    <w:p>
      <w:pPr>
        <w:pStyle w:val="ListBullet"/>
      </w:pPr>
      <w:r>
        <w:t>260 portals</w:t>
      </w:r>
    </w:p>
    <w:p>
      <w:pPr>
        <w:pStyle w:val="ListBullet"/>
      </w:pPr>
      <w:r>
        <w:t>900 labelled pairs</w:t>
      </w:r>
    </w:p>
    <w:p>
      <w:pPr>
        <w:pStyle w:val="ListBullet"/>
      </w:pPr>
      <w:r>
        <w:t>SAME: 279 (31.0%)</w:t>
      </w:r>
    </w:p>
    <w:p>
      <w:pPr>
        <w:pStyle w:val="ListBullet"/>
      </w:pPr>
      <w:r>
        <w:t>DIFFERENT: 621 (69.0%)</w:t>
      </w:r>
    </w:p>
    <w:p/>
    <w:p>
      <w:r>
        <w:t>The labelled sample is skewed toward DIFFERENT pairs.</w:t>
      </w:r>
    </w:p>
    <w:p>
      <w:pPr>
        <w:pStyle w:val="Heading1"/>
      </w:pPr>
      <w:r>
        <w:t>A(a) — Similarity Definition</w:t>
      </w:r>
    </w:p>
    <w:p>
      <w:r>
        <w:t>The representation uses character 5-gram shingles. Title text is retained as an important discriminative signal and normalized body text provides broader evidence. Portal boilerplate, reference numbers, dates, monetary values and other unstable metadata are handled as potentially noisy signals.</w:t>
      </w:r>
    </w:p>
    <w:p/>
    <w:p>
      <w:r>
        <w:t>Across all 900 labelled pairs, title-token Jaccard means:</w:t>
      </w:r>
    </w:p>
    <w:p>
      <w:pPr>
        <w:pStyle w:val="ListBullet"/>
      </w:pPr>
      <w:r>
        <w:t>SAME: 0.7656</w:t>
      </w:r>
    </w:p>
    <w:p>
      <w:pPr>
        <w:pStyle w:val="ListBullet"/>
      </w:pPr>
      <w:r>
        <w:t>DIFFERENT: 0.1432</w:t>
      </w:r>
    </w:p>
    <w:p/>
    <w:p>
      <w:r>
        <w:t>Threshold experiment:</w:t>
      </w:r>
    </w:p>
    <w:p>
      <w:r>
        <w:t>0.50 → 7 false merges, 0 false splits</w:t>
      </w:r>
    </w:p>
    <w:p>
      <w:r>
        <w:t>0.55 → 3 false merges, 4 false splits</w:t>
      </w:r>
    </w:p>
    <w:p>
      <w:r>
        <w:t>0.60 → 3 false merges, 15 false splits</w:t>
      </w:r>
    </w:p>
    <w:p>
      <w:r>
        <w:t>0.65 → 3 false merges, 54 false splits</w:t>
      </w:r>
    </w:p>
    <w:p>
      <w:r>
        <w:t>0.70 → 2 false merges, 89 false splits</w:t>
      </w:r>
    </w:p>
    <w:p>
      <w:r>
        <w:t>0.75 → 0 false merges, 130 false splits</w:t>
      </w:r>
    </w:p>
    <w:p>
      <w:r>
        <w:t>0.80 → 0 false merges, 171 false splits</w:t>
      </w:r>
    </w:p>
    <w:p>
      <w:r>
        <w:t>0.85 → 0 false merges, 213 false splits</w:t>
      </w:r>
    </w:p>
    <w:p>
      <w:r>
        <w:t>0.90 → 0 false merges, 228 false splits</w:t>
      </w:r>
    </w:p>
    <w:p/>
    <w:p>
      <w:r>
        <w:t>A 50:1 false-merge:false-split ratio was used as an explicit experimental assumption; it was not supplied by the Product Head.</w:t>
      </w:r>
    </w:p>
    <w:p/>
    <w:p>
      <w:r>
        <w:t>The supplied pipeline's final pair score combines 70% MinHash similarity, 20% title-token Jaccard, 5% estimated-value agreement, and 5% closing-date agreement.</w:t>
      </w:r>
    </w:p>
    <w:p>
      <w:pPr>
        <w:pStyle w:val="Heading1"/>
      </w:pPr>
      <w:r>
        <w:t>A(b) — Reduced Representation</w:t>
      </w:r>
    </w:p>
    <w:p>
      <w:r>
        <w:t>The selected representation uses 256 MinHash permutations.</w:t>
      </w:r>
    </w:p>
    <w:p/>
    <w:p>
      <w:r>
        <w:t>64 permutations: MAE 0.040807; maximum error 0.190615</w:t>
      </w:r>
    </w:p>
    <w:p>
      <w:r>
        <w:t>128 permutations: MAE 0.027551; maximum error 0.129830</w:t>
      </w:r>
    </w:p>
    <w:p>
      <w:r>
        <w:t>256 permutations: MAE 0.018538; maximum error 0.088885</w:t>
      </w:r>
    </w:p>
    <w:p/>
    <w:p>
      <w:r>
        <w:t>A 256-value uint64 signature requires 2,048 bytes per notice.</w:t>
      </w:r>
    </w:p>
    <w:p>
      <w:pPr>
        <w:pStyle w:val="Heading1"/>
      </w:pPr>
      <w:r>
        <w:t>A(c) — Sublinear Candidate Retrieval</w:t>
      </w:r>
    </w:p>
    <w:p>
      <w:r>
        <w:t>LSH configuration:</w:t>
      </w:r>
    </w:p>
    <w:p>
      <w:pPr>
        <w:pStyle w:val="ListBullet"/>
      </w:pPr>
      <w:r>
        <w:t>32 bands</w:t>
      </w:r>
    </w:p>
    <w:p>
      <w:pPr>
        <w:pStyle w:val="ListBullet"/>
      </w:pPr>
      <w:r>
        <w:t>8 rows per band</w:t>
      </w:r>
    </w:p>
    <w:p>
      <w:pPr>
        <w:pStyle w:val="ListBullet"/>
      </w:pPr>
      <w:r>
        <w:t>256 signature values</w:t>
      </w:r>
    </w:p>
    <w:p/>
    <w:p>
      <w:r>
        <w:t>Measured survival probability:</w:t>
      </w:r>
    </w:p>
    <w:p>
      <w:r>
        <w:t>0.2–0.3 → 0.0000</w:t>
      </w:r>
    </w:p>
    <w:p>
      <w:r>
        <w:t>0.3–0.4 → 0.0000</w:t>
      </w:r>
    </w:p>
    <w:p>
      <w:r>
        <w:t>0.4–0.5 → 0.0498</w:t>
      </w:r>
    </w:p>
    <w:p>
      <w:r>
        <w:t>0.5–0.6 → 0.1967</w:t>
      </w:r>
    </w:p>
    <w:p>
      <w:r>
        <w:t>0.6–0.7 → 0.6111</w:t>
      </w:r>
    </w:p>
    <w:p>
      <w:r>
        <w:t>0.7–0.8 → 0.8788</w:t>
      </w:r>
    </w:p>
    <w:p>
      <w:r>
        <w:t>0.8–0.9 → 1.0000</w:t>
      </w:r>
    </w:p>
    <w:p>
      <w:r>
        <w:t>0.9–1.0 → 1.0000</w:t>
      </w:r>
    </w:p>
    <w:p/>
    <w:p>
      <w:r>
        <w:t>The required survival curve is saved as lsh_survival_curve.png.</w:t>
      </w:r>
    </w:p>
    <w:p/>
    <w:p>
      <w:r>
        <w:t>For the measured high-similarity labelled group at the approximately 0.75 operating point, candidate-stage recall was 110/110 = 1.0000. This experiment used notices involved in the labelled pairs rather than the full corpus.</w:t>
      </w:r>
    </w:p>
    <w:p>
      <w:pPr>
        <w:pStyle w:val="Heading1"/>
      </w:pPr>
      <w:r>
        <w:t>B(d) — Relational Retrieval</w:t>
      </w:r>
    </w:p>
    <w:p>
      <w:r>
        <w:t>The retrieval structure is persisted in SQLite rather than only as a Python object.</w:t>
      </w:r>
    </w:p>
    <w:p/>
    <w:p>
      <w:r>
        <w:t>Main structures:</w:t>
      </w:r>
    </w:p>
    <w:p>
      <w:pPr>
        <w:pStyle w:val="ListBullet"/>
      </w:pPr>
      <w:r>
        <w:t>notices</w:t>
      </w:r>
    </w:p>
    <w:p>
      <w:pPr>
        <w:pStyle w:val="ListBullet"/>
      </w:pPr>
      <w:r>
        <w:t>lsh_bands</w:t>
      </w:r>
    </w:p>
    <w:p>
      <w:pPr>
        <w:pStyle w:val="ListBullet"/>
      </w:pPr>
      <w:r>
        <w:t>candidate_pairs</w:t>
      </w:r>
    </w:p>
    <w:p>
      <w:pPr>
        <w:pStyle w:val="ListBullet"/>
      </w:pPr>
      <w:r>
        <w:t>clusters</w:t>
      </w:r>
    </w:p>
    <w:p/>
    <w:p>
      <w:r>
        <w:t>The LSH table contains 384,000 rows = 12,000 × 32.</w:t>
      </w:r>
    </w:p>
    <w:p/>
    <w:p>
      <w:r>
        <w:t>Indexed lookup:</w:t>
      </w:r>
    </w:p>
    <w:p>
      <w:r>
        <w:t>Planner: SEARCH lsh_bands USING COVERING INDEX sqlite_autoindex_lsh_bands_1</w:t>
      </w:r>
    </w:p>
    <w:p>
      <w:r>
        <w:t>Rows returned: 2</w:t>
      </w:r>
    </w:p>
    <w:p>
      <w:r>
        <w:t>Wall clock: 0.033 ms</w:t>
      </w:r>
    </w:p>
    <w:p/>
    <w:p>
      <w:r>
        <w:t>Forced full scan:</w:t>
      </w:r>
    </w:p>
    <w:p>
      <w:r>
        <w:t>Planner: SCAN lsh_bands</w:t>
      </w:r>
    </w:p>
    <w:p>
      <w:r>
        <w:t>Rows returned: 2</w:t>
      </w:r>
    </w:p>
    <w:p>
      <w:r>
        <w:t>Wall clock: 21.44 ms</w:t>
      </w:r>
    </w:p>
    <w:p/>
    <w:p>
      <w:r>
        <w:t>The indexed lookup was approximately 650× faster in the measured lookup.</w:t>
      </w:r>
    </w:p>
    <w:p>
      <w:pPr>
        <w:pStyle w:val="Heading1"/>
      </w:pPr>
      <w:r>
        <w:t>B(e) — Full-Corpus Retrieval</w:t>
      </w:r>
    </w:p>
    <w:p>
      <w:r>
        <w:t>Baseline:</w:t>
      </w:r>
    </w:p>
    <w:p>
      <w:pPr>
        <w:pStyle w:val="ListBullet"/>
      </w:pPr>
      <w:r>
        <w:t>Notices: 12,000</w:t>
      </w:r>
    </w:p>
    <w:p>
      <w:pPr>
        <w:pStyle w:val="ListBullet"/>
      </w:pPr>
      <w:r>
        <w:t>Candidate links: 27,552,440</w:t>
      </w:r>
    </w:p>
    <w:p>
      <w:pPr>
        <w:pStyle w:val="ListBullet"/>
      </w:pPr>
      <w:r>
        <w:t>Average candidates/notice: 2,296.04</w:t>
      </w:r>
    </w:p>
    <w:p>
      <w:pPr>
        <w:pStyle w:val="ListBullet"/>
      </w:pPr>
      <w:r>
        <w:t>Maximum candidates/notice: 5,862</w:t>
      </w:r>
    </w:p>
    <w:p>
      <w:pPr>
        <w:pStyle w:val="ListBullet"/>
      </w:pPr>
      <w:r>
        <w:t>Minimum candidates/notice: 65</w:t>
      </w:r>
    </w:p>
    <w:p>
      <w:pPr>
        <w:pStyle w:val="ListBullet"/>
      </w:pPr>
      <w:r>
        <w:t>Runtime: 16.774 seconds = 0.28 minutes</w:t>
      </w:r>
    </w:p>
    <w:p/>
    <w:p>
      <w:r>
        <w:t>This is well below the 20-minute nightly budget.</w:t>
      </w:r>
    </w:p>
    <w:p>
      <w:pPr>
        <w:pStyle w:val="Heading1"/>
      </w:pPr>
      <w:r>
        <w:t>B(e) — Work Concentration</w:t>
      </w:r>
    </w:p>
    <w:p>
      <w:r>
        <w:t>Top 5 portals: 10,210,511 candidate links (37.06%)</w:t>
      </w:r>
    </w:p>
    <w:p>
      <w:r>
        <w:t>Top 10 portals: 15,758,313 candidate links (57.19%)</w:t>
      </w:r>
    </w:p>
    <w:p>
      <w:r>
        <w:t>P094: 3,788,862 candidate work</w:t>
      </w:r>
    </w:p>
    <w:p/>
    <w:p>
      <w:r>
        <w:t>P094 is not identified as a nodal aggregator in portal_profiles.md, so its high work is not attributed to boilerplate without further evidence.</w:t>
      </w:r>
    </w:p>
    <w:p>
      <w:pPr>
        <w:pStyle w:val="Heading1"/>
      </w:pPr>
      <w:r>
        <w:t>B(e) — LSH Bucket Concentration</w:t>
      </w:r>
    </w:p>
    <w:p>
      <w:r>
        <w:t>Total buckets: 105,740</w:t>
      </w:r>
    </w:p>
    <w:p>
      <w:r>
        <w:t>Total memberships: 384,000</w:t>
      </w:r>
    </w:p>
    <w:p>
      <w:r>
        <w:t>Largest bucket: 1,971 notices</w:t>
      </w:r>
    </w:p>
    <w:p>
      <w:r>
        <w:t>Buckets &gt;1,000: 5</w:t>
      </w:r>
    </w:p>
    <w:p>
      <w:r>
        <w:t>Buckets &gt;2,000: 0</w:t>
      </w:r>
    </w:p>
    <w:p/>
    <w:p>
      <w:r>
        <w:t>95.43% of buckets contain ≤10 notices.</w:t>
      </w:r>
    </w:p>
    <w:p>
      <w:r>
        <w:t>99.33% contain ≤50 notices.</w:t>
      </w:r>
    </w:p>
    <w:p>
      <w:r>
        <w:t>99.73% contain ≤100 notices.</w:t>
      </w:r>
    </w:p>
    <w:p/>
    <w:p>
      <w:r>
        <w:t>A 1,971-notice bucket can generate approximately 3,882,870 directed links, explaining how a few pathological buckets create disproportionate work.</w:t>
      </w:r>
    </w:p>
    <w:p>
      <w:pPr>
        <w:pStyle w:val="Heading1"/>
      </w:pPr>
      <w:r>
        <w:t>B(e) — Mitigation Experiments</w:t>
      </w:r>
    </w:p>
    <w:p>
      <w:r>
        <w:t>Bucket-size cap:</w:t>
      </w:r>
    </w:p>
    <w:p>
      <w:r>
        <w:t>Cap 500:</w:t>
      </w:r>
    </w:p>
    <w:p>
      <w:pPr>
        <w:pStyle w:val="ListBullet"/>
      </w:pPr>
      <w:r>
        <w:t>Candidate work: 17,597,256</w:t>
      </w:r>
    </w:p>
    <w:p>
      <w:pPr>
        <w:pStyle w:val="ListBullet"/>
      </w:pPr>
      <w:r>
        <w:t>Reduction: 36.13%</w:t>
      </w:r>
    </w:p>
    <w:p>
      <w:pPr>
        <w:pStyle w:val="ListBullet"/>
      </w:pPr>
      <w:r>
        <w:t>SAME recall: 80.29%</w:t>
      </w:r>
    </w:p>
    <w:p/>
    <w:p>
      <w:r>
        <w:t>Cap 1,000:</w:t>
      </w:r>
    </w:p>
    <w:p>
      <w:pPr>
        <w:pStyle w:val="ListBullet"/>
      </w:pPr>
      <w:r>
        <w:t>Candidate work: 23,977,808</w:t>
      </w:r>
    </w:p>
    <w:p>
      <w:pPr>
        <w:pStyle w:val="ListBullet"/>
      </w:pPr>
      <w:r>
        <w:t>Reduction: 12.97%</w:t>
      </w:r>
    </w:p>
    <w:p>
      <w:pPr>
        <w:pStyle w:val="ListBullet"/>
      </w:pPr>
      <w:r>
        <w:t>SAME recall: 80.65%</w:t>
      </w:r>
    </w:p>
    <w:p/>
    <w:p>
      <w:r>
        <w:t>These results did not justify adopting simple bucket truncation as the final mitigation.</w:t>
      </w:r>
    </w:p>
    <w:p/>
    <w:p>
      <w:r>
        <w:t>Boilerplate experiment:</w:t>
      </w:r>
    </w:p>
    <w:p>
      <w:pPr>
        <w:pStyle w:val="ListBullet"/>
      </w:pPr>
      <w:r>
        <w:t>Candidate work: 89,710,812</w:t>
      </w:r>
    </w:p>
    <w:p>
      <w:pPr>
        <w:pStyle w:val="ListBullet"/>
      </w:pPr>
      <w:r>
        <w:t>Change: -225.60%</w:t>
      </w:r>
    </w:p>
    <w:p>
      <w:pPr>
        <w:pStyle w:val="ListBullet"/>
      </w:pPr>
      <w:r>
        <w:t>SAME survival: 73.12%</w:t>
      </w:r>
    </w:p>
    <w:p/>
    <w:p>
      <w:r>
        <w:t>Because this experiment also changed the blocking mechanism, it does not isolate the effect of boilerplate removal. It is treated as a rejected experimental comparison.</w:t>
      </w:r>
    </w:p>
    <w:p/>
    <w:p>
      <w:r>
        <w:t>Candidate-list cap:</w:t>
      </w:r>
    </w:p>
    <w:p>
      <w:r>
        <w:t>Using the original LSH retrieval structure with a cap of 500 candidates per notice:</w:t>
      </w:r>
    </w:p>
    <w:p>
      <w:pPr>
        <w:pStyle w:val="ListBullet"/>
      </w:pPr>
      <w:r>
        <w:t>Candidate work: 5,776,991</w:t>
      </w:r>
    </w:p>
    <w:p>
      <w:pPr>
        <w:pStyle w:val="ListBullet"/>
      </w:pPr>
      <w:r>
        <w:t>Work reduction: 79.03%</w:t>
      </w:r>
    </w:p>
    <w:p>
      <w:pPr>
        <w:pStyle w:val="ListBullet"/>
      </w:pPr>
      <w:r>
        <w:t>Runtime: 212.653 seconds = 3.54 minutes</w:t>
      </w:r>
    </w:p>
    <w:p>
      <w:pPr>
        <w:pStyle w:val="ListBullet"/>
      </w:pPr>
      <w:r>
        <w:t>SAME recall: 214/279 = 76.70%</w:t>
      </w:r>
    </w:p>
    <w:p>
      <w:pPr>
        <w:pStyle w:val="ListBullet"/>
      </w:pPr>
      <w:r>
        <w:t>DIFFERENT survival: 44/621 = 7.09%</w:t>
      </w:r>
    </w:p>
    <w:p/>
    <w:p>
      <w:r>
        <w:t>This gives a measured trade-off of 79.03% less candidate work at the cost of 3.95 percentage points of SAME-pair candidate-stage recall relative to the no-cap baseline.</w:t>
      </w:r>
    </w:p>
    <w:p>
      <w:pPr>
        <w:pStyle w:val="Heading1"/>
      </w:pPr>
      <w:r>
        <w:t>Stable Identity</w:t>
      </w:r>
    </w:p>
    <w:p>
      <w:r>
        <w:t>A production implementation must preserve opportunity identity across reruns. Existing cluster/root IDs should persist and must not be renumbered merely because new notices arrive or the corpus is reprocessed.</w:t>
      </w:r>
    </w:p>
    <w:p/>
    <w:p>
      <w:r>
        <w:t>The supplied pipeline uses IDs such as OPP000001, OPP000002, etc. The key production requirement is persistent identity assignment.</w:t>
      </w:r>
    </w:p>
    <w:p>
      <w:pPr>
        <w:pStyle w:val="Heading1"/>
      </w:pPr>
      <w:r>
        <w:t>Key Conclusions</w:t>
      </w:r>
    </w:p>
    <w:p>
      <w:r>
        <w:t>1. Exact all-pairs comparison is unsuitable for the stated growth requirement.</w:t>
      </w:r>
    </w:p>
    <w:p>
      <w:r>
        <w:t>2. MinHash provides a compact approximate representation.</w:t>
      </w:r>
    </w:p>
    <w:p>
      <w:r>
        <w:t>3. LSH reduces retrieval work by producing candidates rather than comparing every pair.</w:t>
      </w:r>
    </w:p>
    <w:p>
      <w:r>
        <w:t>4. The retrieval structure is relational and survives restart.</w:t>
      </w:r>
    </w:p>
    <w:p>
      <w:r>
        <w:t>5. Full-corpus retrieval was measured at 16.774 seconds, far below the 20-minute budget.</w:t>
      </w:r>
    </w:p>
    <w:p>
      <w:r>
        <w:t>6. Candidate work is highly concentrated in a small number of large LSH buckets.</w:t>
      </w:r>
    </w:p>
    <w:p>
      <w:r>
        <w:t>7. Simple bucket truncation can reduce work but can lose labelled SAME pairs.</w:t>
      </w:r>
    </w:p>
    <w:p>
      <w:r>
        <w:t>8. A 500-candidate notice cap reduces candidate work by 79.03%, but lowers candidate-stage SAME recall from 80.65% to 76.70%.</w:t>
      </w:r>
    </w:p>
    <w:p>
      <w:r>
        <w:t>9. The mitigation therefore represents a measurable accuracy/work trade-off rather than an automatically safe production choice.</w:t>
      </w:r>
    </w:p>
    <w:p>
      <w:r>
        <w:t>10. Stable opportunity identity requires persistent cluster/root IDs across reruns.</w:t>
      </w:r>
    </w:p>
    <w:p>
      <w:pPr>
        <w:pStyle w:val="Heading1"/>
      </w:pPr>
      <w:r>
        <w:t>Reproducibility</w:t>
      </w:r>
    </w:p>
    <w:p>
      <w:r>
        <w:t>Main measurement commands:</w:t>
      </w:r>
    </w:p>
    <w:p>
      <w:r>
        <w:t>py measure_minhash.py</w:t>
      </w:r>
    </w:p>
    <w:p>
      <w:r>
        <w:t>py measure_lsh.py</w:t>
      </w:r>
    </w:p>
    <w:p>
      <w:r>
        <w:t>py measure_retrieval.py</w:t>
      </w:r>
    </w:p>
    <w:p>
      <w:r>
        <w:t>py analyze_hotspots.py</w:t>
      </w:r>
    </w:p>
    <w:p>
      <w:r>
        <w:t>py analyze_buckets.py</w:t>
      </w:r>
    </w:p>
    <w:p>
      <w:r>
        <w:t>py measure_bucket_cap.py</w:t>
      </w:r>
    </w:p>
    <w:p>
      <w:r>
        <w:t>py measure_boilerplate_mitigation.py</w:t>
      </w:r>
    </w:p>
    <w:p>
      <w:r>
        <w:t>py measure_candidate_cap.py</w:t>
      </w:r>
    </w:p>
    <w:p/>
    <w:p>
      <w:r>
        <w:t>Curve:</w:t>
      </w:r>
    </w:p>
    <w:p>
      <w:r>
        <w:t>lsh_survival_curve.png</w:t>
      </w:r>
    </w:p>
    <w:p/>
    <w:p>
      <w:r>
        <w:t>Database:</w:t>
      </w:r>
    </w:p>
    <w:p>
      <w:r>
        <w:t>corpus.sqlite</w:t>
      </w:r>
    </w:p>
    <w:p>
      <w:pPr>
        <w:pStyle w:val="Heading1"/>
      </w:pPr>
      <w:r>
        <w:t>Experimental Limitations</w:t>
      </w:r>
    </w:p>
    <w:p>
      <w:pPr>
        <w:pStyle w:val="ListBullet"/>
      </w:pPr>
      <w:r>
        <w:t>Measurements use the 900 manually adjudicated pairs where specified; the sample is skewed toward DIFFERENT pairs.</w:t>
      </w:r>
    </w:p>
    <w:p>
      <w:pPr>
        <w:pStyle w:val="ListBullet"/>
      </w:pPr>
      <w:r>
        <w:t>The MinHash accuracy experiment is an efficient MinHash-style validation implementation and should not be interpreted as byte-for-byte reproduction of every hashing detail in the supplied pipeline.</w:t>
      </w:r>
    </w:p>
    <w:p>
      <w:pPr>
        <w:pStyle w:val="ListBullet"/>
      </w:pPr>
      <w:r>
        <w:t>The boilerplate experiment changed the blocking method simultaneously and therefore cannot isolate boilerplate removal.</w:t>
      </w:r>
    </w:p>
    <w:p>
      <w:pPr>
        <w:pStyle w:val="ListBullet"/>
      </w:pPr>
      <w:r>
        <w:t>The 50:1 error-cost ratio is an explicit experimental assumption, not a supplied Product Head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