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p>
    <w:p>
      <w:pPr>
        <w:jc w:val="center"/>
      </w:pPr>
      <w:r>
        <w:rPr>
          <w:rFonts w:ascii="Arial" w:cs="Arial" w:eastAsia="Arial" w:hAnsi="Arial"/>
          <w:b/>
          <w:bCs/>
          <w:color w:val="0A4D68"/>
          <w:sz w:val="56"/>
          <w:szCs w:val="56"/>
        </w:rPr>
        <w:t xml:space="preserve">AQUAGUARD</w:t>
      </w:r>
    </w:p>
    <w:p>
      <w:pPr>
        <w:spacing w:after="80"/>
        <w:jc w:val="center"/>
      </w:pPr>
      <w:r>
        <w:rPr>
          <w:rFonts w:ascii="Arial" w:cs="Arial" w:eastAsia="Arial" w:hAnsi="Arial"/>
          <w:color w:val="088395"/>
          <w:sz w:val="28"/>
          <w:szCs w:val="28"/>
        </w:rPr>
        <w:t xml:space="preserve">Community Water Quality &amp; Usage Monitor</w:t>
      </w:r>
    </w:p>
    <w:p>
      <w:pPr>
        <w:spacing w:after="80"/>
      </w:pPr>
    </w:p>
    <w:p>
      <w:pPr>
        <w:pBdr>
          <w:bottom w:val="single" w:color="088395" w:sz="18" w:space="1"/>
        </w:pBdr>
        <w:spacing w:after="200"/>
        <w:jc w:val="center"/>
      </w:pPr>
      <w:r>
        <w:rPr>
          <w:rFonts w:ascii="Arial" w:cs="Arial" w:eastAsia="Arial" w:hAnsi="Arial"/>
          <w:b/>
          <w:bCs/>
          <w:color w:val="051422"/>
          <w:sz w:val="24"/>
          <w:szCs w:val="24"/>
        </w:rPr>
        <w:t xml:space="preserve">PROJECT DOCUMENTATION</w:t>
      </w:r>
    </w:p>
    <w:p>
      <w:pPr>
        <w:spacing w:after="160"/>
      </w:pPr>
    </w:p>
    <w:p>
      <w:pPr>
        <w:jc w:val="center"/>
      </w:pPr>
      <w:r>
        <w:rPr>
          <w:rFonts w:ascii="Arial" w:cs="Arial" w:eastAsia="Arial" w:hAnsi="Arial"/>
          <w:color w:val="5A6A75"/>
          <w:sz w:val="22"/>
          <w:szCs w:val="22"/>
        </w:rPr>
        <w:t xml:space="preserve">Hack-AI-Thon 2026  •  National Level Group Challenge</w:t>
      </w:r>
    </w:p>
    <w:p>
      <w:pPr>
        <w:spacing w:after="200"/>
        <w:jc w:val="center"/>
      </w:pPr>
      <w:r>
        <w:rPr>
          <w:rFonts w:ascii="Arial" w:cs="Arial" w:eastAsia="Arial" w:hAnsi="Arial"/>
          <w:color w:val="5A6A75"/>
          <w:sz w:val="20"/>
          <w:szCs w:val="20"/>
        </w:rPr>
        <w:t xml:space="preserve">Theme: Python Fundamentals + OOP + Sustainable Development Goals</w:t>
      </w:r>
    </w:p>
    <w:p>
      <w:pPr>
        <w:spacing w:after="2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8F6F8" w:val="clear"/>
            <w:tcMar>
              <w:top w:type="dxa" w:w="150"/>
              <w:left w:type="dxa" w:w="200"/>
              <w:bottom w:type="dxa" w:w="150"/>
              <w:right w:type="dxa" w:w="200"/>
            </w:tcMar>
          </w:tcPr>
          <w:p>
            <w:pPr>
              <w:jc w:val="center"/>
            </w:pPr>
            <w:r>
              <w:rPr>
                <w:rFonts w:ascii="Arial" w:cs="Arial" w:eastAsia="Arial" w:hAnsi="Arial"/>
                <w:b/>
                <w:bCs/>
                <w:color w:val="088395"/>
                <w:sz w:val="18"/>
                <w:szCs w:val="18"/>
              </w:rPr>
              <w:t xml:space="preserve">PROJECTED BY</w:t>
            </w:r>
          </w:p>
          <w:p>
            <w:pPr>
              <w:spacing w:before="80"/>
              <w:jc w:val="center"/>
            </w:pPr>
            <w:r>
              <w:rPr>
                <w:rFonts w:ascii="Arial" w:cs="Arial" w:eastAsia="Arial" w:hAnsi="Arial"/>
                <w:color w:val="051422"/>
                <w:sz w:val="22"/>
                <w:szCs w:val="22"/>
              </w:rPr>
              <w:t xml:space="preserve">Pramveer Kumar  •  Agria Jain</w:t>
            </w:r>
          </w:p>
          <w:p>
            <w:pPr>
              <w:jc w:val="center"/>
            </w:pPr>
            <w:r>
              <w:rPr>
                <w:rFonts w:ascii="Arial" w:cs="Arial" w:eastAsia="Arial" w:hAnsi="Arial"/>
                <w:color w:val="051422"/>
                <w:sz w:val="22"/>
                <w:szCs w:val="22"/>
              </w:rPr>
              <w:t xml:space="preserve">Sanskriti Patel  •  Dhanvith J Patil</w:t>
            </w:r>
          </w:p>
        </w:tc>
      </w:tr>
    </w:tbl>
    <w:p>
      <w:pPr>
        <w:spacing w:after="320"/>
      </w:pPr>
    </w:p>
    <w:p>
      <w:pPr>
        <w:jc w:val="center"/>
      </w:pPr>
      <w:r>
        <w:rPr>
          <w:rFonts w:ascii="Arial" w:cs="Arial" w:eastAsia="Arial" w:hAnsi="Arial"/>
          <w:color w:val="5A6A75"/>
          <w:sz w:val="18"/>
          <w:szCs w:val="18"/>
        </w:rPr>
        <w:t xml:space="preserve">Python  •  Object-Oriented Programming  •  CustomTkinter GUI</w:t>
      </w:r>
    </w:p>
    <w:p>
      <w:r>
        <w:br w:type="page"/>
      </w:r>
    </w:p>
    <w:p>
      <w:pPr>
        <w:pStyle w:val="Heading1"/>
        <w:spacing w:after="200" w:before="360"/>
      </w:pPr>
      <w:r>
        <w:rPr>
          <w:rFonts w:ascii="Arial" w:cs="Arial" w:eastAsia="Arial" w:hAnsi="Arial"/>
          <w:b/>
          <w:bCs/>
          <w:color w:val="0A4D68"/>
          <w:sz w:val="32"/>
          <w:szCs w:val="32"/>
        </w:rPr>
        <w:t xml:space="preserve">1. Problem Statement</w:t>
      </w:r>
    </w:p>
    <w:p>
      <w:pPr>
        <w:spacing w:after="140" w:line="276"/>
        <w:jc w:val="both"/>
      </w:pPr>
      <w:r>
        <w:rPr>
          <w:rFonts w:ascii="Arial" w:cs="Arial" w:eastAsia="Arial" w:hAnsi="Arial"/>
          <w:color w:val="051422"/>
          <w:sz w:val="22"/>
          <w:szCs w:val="22"/>
        </w:rPr>
        <w:t xml:space="preserve">Access to clean water and responsible water consumption are critical global challenges. Many households, schools and communities lack simple tools to track daily water usage and basic water quality indicators. Without timely awareness, excessive consumption continues unnoticed and potentially unsafe water conditions go unflagged.</w:t>
      </w:r>
    </w:p>
    <w:p>
      <w:pPr>
        <w:spacing w:after="140" w:line="276"/>
        <w:jc w:val="both"/>
      </w:pPr>
      <w:r>
        <w:rPr>
          <w:rFonts w:ascii="Arial" w:cs="Arial" w:eastAsia="Arial" w:hAnsi="Arial"/>
          <w:color w:val="051422"/>
          <w:sz w:val="22"/>
          <w:szCs w:val="22"/>
        </w:rPr>
        <w:t xml:space="preserve">AquaGuard addresses this gap by providing a practical Python-based monitoring system that records daily water consumption along with pH and turbidity observations, detects abnormal readings using defined thresholds, generates clear alerts and recommendations, and produces location-wise monitoring reports.</w:t>
      </w:r>
    </w:p>
    <w:p>
      <w:pPr>
        <w:pStyle w:val="Heading2"/>
        <w:spacing w:after="160" w:before="280"/>
      </w:pPr>
      <w:r>
        <w:rPr>
          <w:rFonts w:ascii="Arial" w:cs="Arial" w:eastAsia="Arial" w:hAnsi="Arial"/>
          <w:b/>
          <w:bCs/>
          <w:color w:val="088395"/>
          <w:sz w:val="26"/>
          <w:szCs w:val="26"/>
        </w:rPr>
        <w:t xml:space="preserve">1.1 Alignment with Sustainable Development Goals</w:t>
      </w:r>
    </w:p>
    <w:p>
      <w:pPr>
        <w:pStyle w:val="ListParagraph"/>
        <w:numPr>
          <w:ilvl w:val="0"/>
          <w:numId w:val="2"/>
        </w:numPr>
        <w:spacing w:after="80"/>
      </w:pPr>
      <w:r>
        <w:rPr>
          <w:rFonts w:ascii="Arial" w:cs="Arial" w:eastAsia="Arial" w:hAnsi="Arial"/>
          <w:color w:val="051422"/>
          <w:sz w:val="22"/>
          <w:szCs w:val="22"/>
        </w:rPr>
        <w:t xml:space="preserve">SDG 6 – Clean Water and Sanitation: The system monitors basic water quality parameters (pH and turbidity) and flags potentially unsafe sample conditions so users can take timely action.</w:t>
      </w:r>
    </w:p>
    <w:p>
      <w:pPr>
        <w:pStyle w:val="ListParagraph"/>
        <w:numPr>
          <w:ilvl w:val="0"/>
          <w:numId w:val="2"/>
        </w:numPr>
        <w:spacing w:after="80"/>
      </w:pPr>
      <w:r>
        <w:rPr>
          <w:rFonts w:ascii="Arial" w:cs="Arial" w:eastAsia="Arial" w:hAnsi="Arial"/>
          <w:color w:val="051422"/>
          <w:sz w:val="22"/>
          <w:szCs w:val="22"/>
        </w:rPr>
        <w:t xml:space="preserve">SDG 12 – Responsible Consumption and Production: The system tracks daily water usage, identifies excessive consumption patterns, and encourages practical conservation actions.</w:t>
      </w:r>
    </w:p>
    <w:p>
      <w:pPr>
        <w:pStyle w:val="Heading1"/>
        <w:spacing w:after="200" w:before="360"/>
      </w:pPr>
      <w:r>
        <w:rPr>
          <w:rFonts w:ascii="Arial" w:cs="Arial" w:eastAsia="Arial" w:hAnsi="Arial"/>
          <w:b/>
          <w:bCs/>
          <w:color w:val="0A4D68"/>
          <w:sz w:val="32"/>
          <w:szCs w:val="32"/>
        </w:rPr>
        <w:t xml:space="preserve">2. Objectives</w:t>
      </w:r>
    </w:p>
    <w:p>
      <w:pPr>
        <w:spacing w:after="140" w:line="276"/>
        <w:jc w:val="both"/>
      </w:pPr>
      <w:r>
        <w:rPr>
          <w:rFonts w:ascii="Arial" w:cs="Arial" w:eastAsia="Arial" w:hAnsi="Arial"/>
          <w:color w:val="051422"/>
          <w:sz w:val="22"/>
          <w:szCs w:val="22"/>
        </w:rPr>
        <w:t xml:space="preserve">The primary objectives of AquaGuard are:</w:t>
      </w:r>
    </w:p>
    <w:p>
      <w:pPr>
        <w:pStyle w:val="ListParagraph"/>
        <w:numPr>
          <w:ilvl w:val="0"/>
          <w:numId w:val="3"/>
        </w:numPr>
        <w:spacing w:after="80"/>
      </w:pPr>
      <w:r>
        <w:rPr>
          <w:rFonts w:ascii="Arial" w:cs="Arial" w:eastAsia="Arial" w:hAnsi="Arial"/>
          <w:sz w:val="22"/>
          <w:szCs w:val="22"/>
        </w:rPr>
        <w:t xml:space="preserve">Develop a functional prototype that records daily water consumption, pH and turbidity using sample data.</w:t>
      </w:r>
    </w:p>
    <w:p>
      <w:pPr>
        <w:pStyle w:val="ListParagraph"/>
        <w:numPr>
          <w:ilvl w:val="0"/>
          <w:numId w:val="3"/>
        </w:numPr>
        <w:spacing w:after="80"/>
      </w:pPr>
      <w:r>
        <w:rPr>
          <w:rFonts w:ascii="Arial" w:cs="Arial" w:eastAsia="Arial" w:hAnsi="Arial"/>
          <w:sz w:val="22"/>
          <w:szCs w:val="22"/>
        </w:rPr>
        <w:t xml:space="preserve">Implement Object-Oriented Programming with clear Location/User, WaterReading and MonitoringReport classes.</w:t>
      </w:r>
    </w:p>
    <w:p>
      <w:pPr>
        <w:pStyle w:val="ListParagraph"/>
        <w:numPr>
          <w:ilvl w:val="0"/>
          <w:numId w:val="3"/>
        </w:numPr>
        <w:spacing w:after="80"/>
      </w:pPr>
      <w:r>
        <w:rPr>
          <w:rFonts w:ascii="Arial" w:cs="Arial" w:eastAsia="Arial" w:hAnsi="Arial"/>
          <w:sz w:val="22"/>
          <w:szCs w:val="22"/>
        </w:rPr>
        <w:t xml:space="preserve">Detect abnormal readings using transparent, project-defined thresholds.</w:t>
      </w:r>
    </w:p>
    <w:p>
      <w:pPr>
        <w:pStyle w:val="ListParagraph"/>
        <w:numPr>
          <w:ilvl w:val="0"/>
          <w:numId w:val="3"/>
        </w:numPr>
        <w:spacing w:after="80"/>
      </w:pPr>
      <w:r>
        <w:rPr>
          <w:rFonts w:ascii="Arial" w:cs="Arial" w:eastAsia="Arial" w:hAnsi="Arial"/>
          <w:sz w:val="22"/>
          <w:szCs w:val="22"/>
        </w:rPr>
        <w:t xml:space="preserve">Generate actionable alerts and conservation recommendations.</w:t>
      </w:r>
    </w:p>
    <w:p>
      <w:pPr>
        <w:pStyle w:val="ListParagraph"/>
        <w:numPr>
          <w:ilvl w:val="0"/>
          <w:numId w:val="3"/>
        </w:numPr>
        <w:spacing w:after="80"/>
      </w:pPr>
      <w:r>
        <w:rPr>
          <w:rFonts w:ascii="Arial" w:cs="Arial" w:eastAsia="Arial" w:hAnsi="Arial"/>
          <w:sz w:val="22"/>
          <w:szCs w:val="22"/>
        </w:rPr>
        <w:t xml:space="preserve">Produce location-wise / household-wise monitoring reports containing consumption, quality status, alerts, trends and recommendations.</w:t>
      </w:r>
    </w:p>
    <w:p>
      <w:pPr>
        <w:pStyle w:val="ListParagraph"/>
        <w:numPr>
          <w:ilvl w:val="0"/>
          <w:numId w:val="3"/>
        </w:numPr>
        <w:spacing w:after="80"/>
      </w:pPr>
      <w:r>
        <w:rPr>
          <w:rFonts w:ascii="Arial" w:cs="Arial" w:eastAsia="Arial" w:hAnsi="Arial"/>
          <w:sz w:val="22"/>
          <w:szCs w:val="22"/>
        </w:rPr>
        <w:t xml:space="preserve">Provide an attractive, easy-to-use graphical interface so non-technical users can operate the system.</w:t>
      </w:r>
    </w:p>
    <w:p>
      <w:pPr>
        <w:pStyle w:val="Heading1"/>
        <w:spacing w:after="200" w:before="360"/>
      </w:pPr>
      <w:r>
        <w:rPr>
          <w:rFonts w:ascii="Arial" w:cs="Arial" w:eastAsia="Arial" w:hAnsi="Arial"/>
          <w:b/>
          <w:bCs/>
          <w:color w:val="0A4D68"/>
          <w:sz w:val="32"/>
          <w:szCs w:val="32"/>
        </w:rPr>
        <w:t xml:space="preserve">3. System Design</w:t>
      </w:r>
    </w:p>
    <w:p>
      <w:pPr>
        <w:spacing w:after="140" w:line="276"/>
        <w:jc w:val="both"/>
      </w:pPr>
      <w:r>
        <w:rPr>
          <w:rFonts w:ascii="Arial" w:cs="Arial" w:eastAsia="Arial" w:hAnsi="Arial"/>
          <w:color w:val="051422"/>
          <w:sz w:val="22"/>
          <w:szCs w:val="22"/>
        </w:rPr>
        <w:t xml:space="preserve">AquaGuard follows a clean modular architecture that separates concerns:</w:t>
      </w:r>
    </w:p>
    <w:p>
      <w:pPr>
        <w:pStyle w:val="Heading2"/>
        <w:spacing w:after="160" w:before="280"/>
      </w:pPr>
      <w:r>
        <w:rPr>
          <w:rFonts w:ascii="Arial" w:cs="Arial" w:eastAsia="Arial" w:hAnsi="Arial"/>
          <w:b/>
          <w:bCs/>
          <w:color w:val="088395"/>
          <w:sz w:val="26"/>
          <w:szCs w:val="26"/>
        </w:rPr>
        <w:t xml:space="preserve">3.1 High-Level Flow</w:t>
      </w:r>
    </w:p>
    <w:p>
      <w:pPr>
        <w:spacing w:after="140" w:line="276"/>
        <w:jc w:val="both"/>
      </w:pPr>
      <w:r>
        <w:rPr>
          <w:rFonts w:ascii="Arial" w:cs="Arial" w:eastAsia="Arial" w:hAnsi="Arial"/>
          <w:color w:val="051422"/>
          <w:sz w:val="22"/>
          <w:szCs w:val="22"/>
        </w:rPr>
        <w:t xml:space="preserve">ENTER → SAVE → ANALYZE → ALERT → UNDERSTAND</w:t>
      </w:r>
    </w:p>
    <w:p>
      <w:pPr>
        <w:pStyle w:val="ListParagraph"/>
        <w:numPr>
          <w:ilvl w:val="0"/>
          <w:numId w:val="2"/>
        </w:numPr>
        <w:spacing w:after="80"/>
      </w:pPr>
      <w:r>
        <w:rPr>
          <w:rFonts w:ascii="Arial" w:cs="Arial" w:eastAsia="Arial" w:hAnsi="Arial"/>
          <w:color w:val="051422"/>
          <w:sz w:val="22"/>
          <w:szCs w:val="22"/>
        </w:rPr>
        <w:t xml:space="preserve">User enters location, user details and daily reading (consumption, pH, turbidity).</w:t>
      </w:r>
    </w:p>
    <w:p>
      <w:pPr>
        <w:pStyle w:val="ListParagraph"/>
        <w:numPr>
          <w:ilvl w:val="0"/>
          <w:numId w:val="2"/>
        </w:numPr>
        <w:spacing w:after="80"/>
      </w:pPr>
      <w:r>
        <w:rPr>
          <w:rFonts w:ascii="Arial" w:cs="Arial" w:eastAsia="Arial" w:hAnsi="Arial"/>
          <w:color w:val="051422"/>
          <w:sz w:val="22"/>
          <w:szCs w:val="22"/>
        </w:rPr>
        <w:t xml:space="preserve">Data is stored as WaterReading objects linked to Location and User.</w:t>
      </w:r>
    </w:p>
    <w:p>
      <w:pPr>
        <w:pStyle w:val="ListParagraph"/>
        <w:numPr>
          <w:ilvl w:val="0"/>
          <w:numId w:val="2"/>
        </w:numPr>
        <w:spacing w:after="80"/>
      </w:pPr>
      <w:r>
        <w:rPr>
          <w:rFonts w:ascii="Arial" w:cs="Arial" w:eastAsia="Arial" w:hAnsi="Arial"/>
          <w:color w:val="051422"/>
          <w:sz w:val="22"/>
          <w:szCs w:val="22"/>
        </w:rPr>
        <w:t xml:space="preserve">Analytics engine evaluates thresholds and calculates trends.</w:t>
      </w:r>
    </w:p>
    <w:p>
      <w:pPr>
        <w:pStyle w:val="ListParagraph"/>
        <w:numPr>
          <w:ilvl w:val="0"/>
          <w:numId w:val="2"/>
        </w:numPr>
        <w:spacing w:after="80"/>
      </w:pPr>
      <w:r>
        <w:rPr>
          <w:rFonts w:ascii="Arial" w:cs="Arial" w:eastAsia="Arial" w:hAnsi="Arial"/>
          <w:color w:val="051422"/>
          <w:sz w:val="22"/>
          <w:szCs w:val="22"/>
        </w:rPr>
        <w:t xml:space="preserve">Abnormal values trigger clear alerts.</w:t>
      </w:r>
    </w:p>
    <w:p>
      <w:pPr>
        <w:pStyle w:val="ListParagraph"/>
        <w:numPr>
          <w:ilvl w:val="0"/>
          <w:numId w:val="2"/>
        </w:numPr>
        <w:spacing w:after="80"/>
      </w:pPr>
      <w:r>
        <w:rPr>
          <w:rFonts w:ascii="Arial" w:cs="Arial" w:eastAsia="Arial" w:hAnsi="Arial"/>
          <w:color w:val="051422"/>
          <w:sz w:val="22"/>
          <w:szCs w:val="22"/>
        </w:rPr>
        <w:t xml:space="preserve">MonitoringReport produces a complete location-wise summary with recommendations.</w:t>
      </w:r>
    </w:p>
    <w:p>
      <w:pPr>
        <w:pStyle w:val="Heading2"/>
        <w:spacing w:after="160" w:before="280"/>
      </w:pPr>
      <w:r>
        <w:rPr>
          <w:rFonts w:ascii="Arial" w:cs="Arial" w:eastAsia="Arial" w:hAnsi="Arial"/>
          <w:b/>
          <w:bCs/>
          <w:color w:val="088395"/>
          <w:sz w:val="26"/>
          <w:szCs w:val="26"/>
        </w:rPr>
        <w:t xml:space="preserve">3.2 Architecture Layers</w:t>
      </w:r>
    </w:p>
    <w:p>
      <w:pPr>
        <w:pStyle w:val="ListParagraph"/>
        <w:numPr>
          <w:ilvl w:val="0"/>
          <w:numId w:val="2"/>
        </w:numPr>
        <w:spacing w:after="80"/>
      </w:pPr>
      <w:r>
        <w:rPr>
          <w:rFonts w:ascii="Arial" w:cs="Arial" w:eastAsia="Arial" w:hAnsi="Arial"/>
          <w:color w:val="051422"/>
          <w:sz w:val="22"/>
          <w:szCs w:val="22"/>
        </w:rPr>
        <w:t xml:space="preserve">GUI Layer – Modern dark-themed interface built with CustomTkinter.</w:t>
      </w:r>
    </w:p>
    <w:p>
      <w:pPr>
        <w:pStyle w:val="ListParagraph"/>
        <w:numPr>
          <w:ilvl w:val="0"/>
          <w:numId w:val="2"/>
        </w:numPr>
        <w:spacing w:after="80"/>
      </w:pPr>
      <w:r>
        <w:rPr>
          <w:rFonts w:ascii="Arial" w:cs="Arial" w:eastAsia="Arial" w:hAnsi="Arial"/>
          <w:color w:val="051422"/>
          <w:sz w:val="22"/>
          <w:szCs w:val="22"/>
        </w:rPr>
        <w:t xml:space="preserve">Logic Layer – Threshold checks, trend calculation, alert generation and report building.</w:t>
      </w:r>
    </w:p>
    <w:p>
      <w:pPr>
        <w:pStyle w:val="ListParagraph"/>
        <w:numPr>
          <w:ilvl w:val="0"/>
          <w:numId w:val="2"/>
        </w:numPr>
        <w:spacing w:after="80"/>
      </w:pPr>
      <w:r>
        <w:rPr>
          <w:rFonts w:ascii="Arial" w:cs="Arial" w:eastAsia="Arial" w:hAnsi="Arial"/>
          <w:color w:val="051422"/>
          <w:sz w:val="22"/>
          <w:szCs w:val="22"/>
        </w:rPr>
        <w:t xml:space="preserve">Model Layer – Location, User, WaterReading and MonitoringReport classes.</w:t>
      </w:r>
    </w:p>
    <w:p>
      <w:pPr>
        <w:pStyle w:val="ListParagraph"/>
        <w:numPr>
          <w:ilvl w:val="0"/>
          <w:numId w:val="2"/>
        </w:numPr>
        <w:spacing w:after="80"/>
      </w:pPr>
      <w:r>
        <w:rPr>
          <w:rFonts w:ascii="Arial" w:cs="Arial" w:eastAsia="Arial" w:hAnsi="Arial"/>
          <w:color w:val="051422"/>
          <w:sz w:val="22"/>
          <w:szCs w:val="22"/>
        </w:rPr>
        <w:t xml:space="preserve">Data Layer – In-memory sample data (easily extendable to SQLite).</w:t>
      </w:r>
    </w:p>
    <w:p>
      <w:pPr>
        <w:pStyle w:val="Heading1"/>
        <w:spacing w:after="200" w:before="360"/>
      </w:pPr>
      <w:r>
        <w:rPr>
          <w:rFonts w:ascii="Arial" w:cs="Arial" w:eastAsia="Arial" w:hAnsi="Arial"/>
          <w:b/>
          <w:bCs/>
          <w:color w:val="0A4D68"/>
          <w:sz w:val="32"/>
          <w:szCs w:val="32"/>
        </w:rPr>
        <w:t xml:space="preserve">4. Classes &amp; OOP Concepts</w:t>
      </w:r>
    </w:p>
    <w:p>
      <w:pPr>
        <w:spacing w:after="140" w:line="276"/>
        <w:jc w:val="both"/>
      </w:pPr>
      <w:r>
        <w:rPr>
          <w:rFonts w:ascii="Arial" w:cs="Arial" w:eastAsia="Arial" w:hAnsi="Arial"/>
          <w:color w:val="051422"/>
          <w:sz w:val="22"/>
          <w:szCs w:val="22"/>
        </w:rPr>
        <w:t xml:space="preserve">The solution is built around real-world objects, directly satisfying the mandatory OOP requirement of the challenge.</w:t>
      </w:r>
    </w:p>
    <w:p>
      <w:pPr>
        <w:pStyle w:val="Heading2"/>
        <w:spacing w:after="160" w:before="280"/>
      </w:pPr>
      <w:r>
        <w:rPr>
          <w:rFonts w:ascii="Arial" w:cs="Arial" w:eastAsia="Arial" w:hAnsi="Arial"/>
          <w:b/>
          <w:bCs/>
          <w:color w:val="088395"/>
          <w:sz w:val="26"/>
          <w:szCs w:val="26"/>
        </w:rPr>
        <w:t xml:space="preserve">4.1 Location</w:t>
      </w:r>
    </w:p>
    <w:p>
      <w:pPr>
        <w:spacing w:after="140" w:line="276"/>
        <w:jc w:val="both"/>
      </w:pPr>
      <w:r>
        <w:rPr>
          <w:rFonts w:ascii="Arial" w:cs="Arial" w:eastAsia="Arial" w:hAnsi="Arial"/>
          <w:color w:val="051422"/>
          <w:sz w:val="22"/>
          <w:szCs w:val="22"/>
        </w:rPr>
        <w:t xml:space="preserve">Represents a monitored site (Household, School or Community). Stores name, address and location type.</w:t>
      </w:r>
    </w:p>
    <w:p>
      <w:pPr>
        <w:pStyle w:val="Heading2"/>
        <w:spacing w:after="160" w:before="280"/>
      </w:pPr>
      <w:r>
        <w:rPr>
          <w:rFonts w:ascii="Arial" w:cs="Arial" w:eastAsia="Arial" w:hAnsi="Arial"/>
          <w:b/>
          <w:bCs/>
          <w:color w:val="088395"/>
          <w:sz w:val="26"/>
          <w:szCs w:val="26"/>
        </w:rPr>
        <w:t xml:space="preserve">4.2 User</w:t>
      </w:r>
    </w:p>
    <w:p>
      <w:pPr>
        <w:spacing w:after="140" w:line="276"/>
        <w:jc w:val="both"/>
      </w:pPr>
      <w:r>
        <w:rPr>
          <w:rFonts w:ascii="Arial" w:cs="Arial" w:eastAsia="Arial" w:hAnsi="Arial"/>
          <w:color w:val="051422"/>
          <w:sz w:val="22"/>
          <w:szCs w:val="22"/>
        </w:rPr>
        <w:t xml:space="preserve">Represents the person recording the reading. Stores user ID, name and role.</w:t>
      </w:r>
    </w:p>
    <w:p>
      <w:pPr>
        <w:pStyle w:val="Heading2"/>
        <w:spacing w:after="160" w:before="280"/>
      </w:pPr>
      <w:r>
        <w:rPr>
          <w:rFonts w:ascii="Arial" w:cs="Arial" w:eastAsia="Arial" w:hAnsi="Arial"/>
          <w:b/>
          <w:bCs/>
          <w:color w:val="088395"/>
          <w:sz w:val="26"/>
          <w:szCs w:val="26"/>
        </w:rPr>
        <w:t xml:space="preserve">4.3 WaterReading</w:t>
      </w:r>
    </w:p>
    <w:p>
      <w:pPr>
        <w:spacing w:after="140" w:line="276"/>
        <w:jc w:val="both"/>
      </w:pPr>
      <w:r>
        <w:rPr>
          <w:rFonts w:ascii="Arial" w:cs="Arial" w:eastAsia="Arial" w:hAnsi="Arial"/>
          <w:color w:val="051422"/>
          <w:sz w:val="22"/>
          <w:szCs w:val="22"/>
        </w:rPr>
        <w:t xml:space="preserve">Stores one complete day’s observation for a location: date, consumption (litres), pH, turbidity (NTU), linked Location and User. Contains methods to check abnormality and generate specific alerts.</w:t>
      </w:r>
    </w:p>
    <w:p>
      <w:pPr>
        <w:pStyle w:val="Heading2"/>
        <w:spacing w:after="160" w:before="280"/>
      </w:pPr>
      <w:r>
        <w:rPr>
          <w:rFonts w:ascii="Arial" w:cs="Arial" w:eastAsia="Arial" w:hAnsi="Arial"/>
          <w:b/>
          <w:bCs/>
          <w:color w:val="088395"/>
          <w:sz w:val="26"/>
          <w:szCs w:val="26"/>
        </w:rPr>
        <w:t xml:space="preserve">4.4 MonitoringReport</w:t>
      </w:r>
    </w:p>
    <w:p>
      <w:pPr>
        <w:spacing w:after="140" w:line="276"/>
        <w:jc w:val="both"/>
      </w:pPr>
      <w:r>
        <w:rPr>
          <w:rFonts w:ascii="Arial" w:cs="Arial" w:eastAsia="Arial" w:hAnsi="Arial"/>
          <w:color w:val="051422"/>
          <w:sz w:val="22"/>
          <w:szCs w:val="22"/>
        </w:rPr>
        <w:t xml:space="preserve">Aggregates readings for one location and produces the final required output: status, average consumption, trend, all alerts and recommended conservation actions.</w:t>
      </w:r>
    </w:p>
    <w:p>
      <w:pPr>
        <w:pStyle w:val="Heading2"/>
        <w:spacing w:after="160" w:before="280"/>
      </w:pPr>
      <w:r>
        <w:rPr>
          <w:rFonts w:ascii="Arial" w:cs="Arial" w:eastAsia="Arial" w:hAnsi="Arial"/>
          <w:b/>
          <w:bCs/>
          <w:color w:val="088395"/>
          <w:sz w:val="26"/>
          <w:szCs w:val="26"/>
        </w:rPr>
        <w:t xml:space="preserve">4.5 OOP Principles Applied</w:t>
      </w:r>
    </w:p>
    <w:p>
      <w:pPr>
        <w:pStyle w:val="ListParagraph"/>
        <w:numPr>
          <w:ilvl w:val="0"/>
          <w:numId w:val="2"/>
        </w:numPr>
        <w:spacing w:after="80"/>
      </w:pPr>
      <w:r>
        <w:rPr>
          <w:rFonts w:ascii="Arial" w:cs="Arial" w:eastAsia="Arial" w:hAnsi="Arial"/>
          <w:color w:val="051422"/>
          <w:sz w:val="22"/>
          <w:szCs w:val="22"/>
        </w:rPr>
        <w:t xml:space="preserve">Encapsulation – Data and behaviour are kept together inside each class.</w:t>
      </w:r>
    </w:p>
    <w:p>
      <w:pPr>
        <w:pStyle w:val="ListParagraph"/>
        <w:numPr>
          <w:ilvl w:val="0"/>
          <w:numId w:val="2"/>
        </w:numPr>
        <w:spacing w:after="80"/>
      </w:pPr>
      <w:r>
        <w:rPr>
          <w:rFonts w:ascii="Arial" w:cs="Arial" w:eastAsia="Arial" w:hAnsi="Arial"/>
          <w:color w:val="051422"/>
          <w:sz w:val="22"/>
          <w:szCs w:val="22"/>
        </w:rPr>
        <w:t xml:space="preserve">Composition – MonitoringReport contains a list of WaterReading objects.</w:t>
      </w:r>
    </w:p>
    <w:p>
      <w:pPr>
        <w:pStyle w:val="ListParagraph"/>
        <w:numPr>
          <w:ilvl w:val="0"/>
          <w:numId w:val="2"/>
        </w:numPr>
        <w:spacing w:after="80"/>
      </w:pPr>
      <w:r>
        <w:rPr>
          <w:rFonts w:ascii="Arial" w:cs="Arial" w:eastAsia="Arial" w:hAnsi="Arial"/>
          <w:color w:val="051422"/>
          <w:sz w:val="22"/>
          <w:szCs w:val="22"/>
        </w:rPr>
        <w:t xml:space="preserve">Abstraction – Complex threshold logic is hidden behind simple method calls such as is_abnormal() and get_alerts().</w:t>
      </w:r>
    </w:p>
    <w:p>
      <w:pPr>
        <w:pStyle w:val="ListParagraph"/>
        <w:numPr>
          <w:ilvl w:val="0"/>
          <w:numId w:val="2"/>
        </w:numPr>
        <w:spacing w:after="80"/>
      </w:pPr>
      <w:r>
        <w:rPr>
          <w:rFonts w:ascii="Arial" w:cs="Arial" w:eastAsia="Arial" w:hAnsi="Arial"/>
          <w:color w:val="051422"/>
          <w:sz w:val="22"/>
          <w:szCs w:val="22"/>
        </w:rPr>
        <w:t xml:space="preserve">Meaningful naming – Class and method names clearly reflect their real-world purpose.</w:t>
      </w:r>
    </w:p>
    <w:p>
      <w:pPr>
        <w:pStyle w:val="Heading1"/>
        <w:spacing w:after="200" w:before="360"/>
      </w:pPr>
      <w:r>
        <w:rPr>
          <w:rFonts w:ascii="Arial" w:cs="Arial" w:eastAsia="Arial" w:hAnsi="Arial"/>
          <w:b/>
          <w:bCs/>
          <w:color w:val="0A4D68"/>
          <w:sz w:val="32"/>
          <w:szCs w:val="32"/>
        </w:rPr>
        <w:t xml:space="preserve">5. Algorithms &amp; Decision Logic</w:t>
      </w:r>
    </w:p>
    <w:p>
      <w:pPr>
        <w:pStyle w:val="Heading2"/>
        <w:spacing w:after="160" w:before="280"/>
      </w:pPr>
      <w:r>
        <w:rPr>
          <w:rFonts w:ascii="Arial" w:cs="Arial" w:eastAsia="Arial" w:hAnsi="Arial"/>
          <w:b/>
          <w:bCs/>
          <w:color w:val="088395"/>
          <w:sz w:val="26"/>
          <w:szCs w:val="26"/>
        </w:rPr>
        <w:t xml:space="preserve">5.1 Threshold Rules (Project-Defined)</w:t>
      </w:r>
    </w:p>
    <w:p>
      <w:pPr>
        <w:spacing w:after="140" w:line="276"/>
        <w:jc w:val="both"/>
      </w:pPr>
      <w:r>
        <w:rPr>
          <w:rFonts w:ascii="Arial" w:cs="Arial" w:eastAsia="Arial" w:hAnsi="Arial"/>
          <w:color w:val="051422"/>
          <w:sz w:val="22"/>
          <w:szCs w:val="22"/>
        </w:rPr>
        <w:t xml:space="preserve">The prototype uses transparent demonstration thresholds: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480"/>
      </w:tblGrid>
      <w:tr>
        <w:tc>
          <w:tcPr>
            <w:tcW w:type="dxa" w:w="2800"/>
            <w:tcBorders>
              <w:top w:val="single" w:color="CCCCCC" w:sz="1"/>
              <w:left w:val="single" w:color="CCCCCC" w:sz="1"/>
              <w:bottom w:val="single" w:color="CCCCCC" w:sz="1"/>
              <w:right w:val="single" w:color="CCCCCC" w:sz="1"/>
            </w:tcBorders>
            <w:shd w:fill="0A4D68"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0A4D68" w:val="clear"/>
            <w:tcMar>
              <w:top w:type="dxa" w:w="60"/>
              <w:left w:type="dxa" w:w="100"/>
              <w:bottom w:type="dxa" w:w="60"/>
              <w:right w:type="dxa" w:w="100"/>
            </w:tcMar>
          </w:tcPr>
          <w:p>
            <w:r>
              <w:rPr>
                <w:rFonts w:ascii="Arial" w:cs="Arial" w:eastAsia="Arial" w:hAnsi="Arial"/>
                <w:b/>
                <w:bCs/>
                <w:color w:val="FFFFFF"/>
                <w:sz w:val="20"/>
                <w:szCs w:val="20"/>
              </w:rPr>
              <w:t xml:space="preserve">Safe Range</w:t>
            </w:r>
          </w:p>
        </w:tc>
        <w:tc>
          <w:tcPr>
            <w:tcW w:type="dxa" w:w="4480"/>
            <w:tcBorders>
              <w:top w:val="single" w:color="CCCCCC" w:sz="1"/>
              <w:left w:val="single" w:color="CCCCCC" w:sz="1"/>
              <w:bottom w:val="single" w:color="CCCCCC" w:sz="1"/>
              <w:right w:val="single" w:color="CCCCCC" w:sz="1"/>
            </w:tcBorders>
            <w:shd w:fill="0A4D68" w:val="clear"/>
            <w:tcMar>
              <w:top w:type="dxa" w:w="60"/>
              <w:left w:type="dxa" w:w="100"/>
              <w:bottom w:type="dxa" w:w="60"/>
              <w:right w:type="dxa" w:w="100"/>
            </w:tcMar>
          </w:tcPr>
          <w:p>
            <w:r>
              <w:rPr>
                <w:rFonts w:ascii="Arial" w:cs="Arial" w:eastAsia="Arial" w:hAnsi="Arial"/>
                <w:b/>
                <w:bCs/>
                <w:color w:val="FFFFFF"/>
                <w:sz w:val="20"/>
                <w:szCs w:val="20"/>
              </w:rPr>
              <w:t xml:space="preserve">Action if Outside</w:t>
            </w:r>
          </w:p>
        </w:tc>
      </w:tr>
      <w:tr>
        <w:tc>
          <w:tcPr>
            <w:tcW w:type="dxa" w:w="2800"/>
            <w:tcBorders>
              <w:top w:val="single" w:color="CCCCCC" w:sz="1"/>
              <w:left w:val="single" w:color="CCCCCC" w:sz="1"/>
              <w:bottom w:val="single" w:color="CCCCCC" w:sz="1"/>
              <w:right w:val="single" w:color="CCCCCC" w:sz="1"/>
            </w:tcBorders>
            <w:shd w:fill="E8F6F8" w:val="clear"/>
            <w:tcMar>
              <w:top w:type="dxa" w:w="50"/>
              <w:left w:type="dxa" w:w="100"/>
              <w:bottom w:type="dxa" w:w="50"/>
              <w:right w:type="dxa" w:w="100"/>
            </w:tcMar>
          </w:tcPr>
          <w:p>
            <w:r>
              <w:rPr>
                <w:rFonts w:ascii="Arial" w:cs="Arial" w:eastAsia="Arial" w:hAnsi="Arial"/>
                <w:color w:val="051422"/>
                <w:sz w:val="20"/>
                <w:szCs w:val="20"/>
              </w:rPr>
              <w:t xml:space="preserve">pH</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051422"/>
                <w:sz w:val="20"/>
                <w:szCs w:val="20"/>
              </w:rPr>
              <w:t xml:space="preserve">6.5 – 8.5</w:t>
            </w:r>
          </w:p>
        </w:tc>
        <w:tc>
          <w:tcPr>
            <w:tcW w:type="dxa" w:w="44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051422"/>
                <w:sz w:val="20"/>
                <w:szCs w:val="20"/>
              </w:rPr>
              <w:t xml:space="preserve">Quality attention (acidic / alkaline)</w:t>
            </w:r>
          </w:p>
        </w:tc>
      </w:tr>
      <w:tr>
        <w:tc>
          <w:tcPr>
            <w:tcW w:type="dxa" w:w="2800"/>
            <w:tcBorders>
              <w:top w:val="single" w:color="CCCCCC" w:sz="1"/>
              <w:left w:val="single" w:color="CCCCCC" w:sz="1"/>
              <w:bottom w:val="single" w:color="CCCCCC" w:sz="1"/>
              <w:right w:val="single" w:color="CCCCCC" w:sz="1"/>
            </w:tcBorders>
            <w:shd w:fill="E8F6F8" w:val="clear"/>
            <w:tcMar>
              <w:top w:type="dxa" w:w="50"/>
              <w:left w:type="dxa" w:w="100"/>
              <w:bottom w:type="dxa" w:w="50"/>
              <w:right w:type="dxa" w:w="100"/>
            </w:tcMar>
          </w:tcPr>
          <w:p>
            <w:r>
              <w:rPr>
                <w:rFonts w:ascii="Arial" w:cs="Arial" w:eastAsia="Arial" w:hAnsi="Arial"/>
                <w:color w:val="051422"/>
                <w:sz w:val="20"/>
                <w:szCs w:val="20"/>
              </w:rPr>
              <w:t xml:space="preserve">Turbidity</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051422"/>
                <w:sz w:val="20"/>
                <w:szCs w:val="20"/>
              </w:rPr>
              <w:t xml:space="preserve">≤ 5.0 NTU</w:t>
            </w:r>
          </w:p>
        </w:tc>
        <w:tc>
          <w:tcPr>
            <w:tcW w:type="dxa" w:w="44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051422"/>
                <w:sz w:val="20"/>
                <w:szCs w:val="20"/>
              </w:rPr>
              <w:t xml:space="preserve">Quality attention (possible unsafe water)</w:t>
            </w:r>
          </w:p>
        </w:tc>
      </w:tr>
      <w:tr>
        <w:tc>
          <w:tcPr>
            <w:tcW w:type="dxa" w:w="2800"/>
            <w:tcBorders>
              <w:top w:val="single" w:color="CCCCCC" w:sz="1"/>
              <w:left w:val="single" w:color="CCCCCC" w:sz="1"/>
              <w:bottom w:val="single" w:color="CCCCCC" w:sz="1"/>
              <w:right w:val="single" w:color="CCCCCC" w:sz="1"/>
            </w:tcBorders>
            <w:shd w:fill="E8F6F8" w:val="clear"/>
            <w:tcMar>
              <w:top w:type="dxa" w:w="50"/>
              <w:left w:type="dxa" w:w="100"/>
              <w:bottom w:type="dxa" w:w="50"/>
              <w:right w:type="dxa" w:w="100"/>
            </w:tcMar>
          </w:tcPr>
          <w:p>
            <w:r>
              <w:rPr>
                <w:rFonts w:ascii="Arial" w:cs="Arial" w:eastAsia="Arial" w:hAnsi="Arial"/>
                <w:color w:val="051422"/>
                <w:sz w:val="20"/>
                <w:szCs w:val="20"/>
              </w:rPr>
              <w:t xml:space="preserve">Consumption</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051422"/>
                <w:sz w:val="20"/>
                <w:szCs w:val="20"/>
              </w:rPr>
              <w:t xml:space="preserve">≤ 450–500 L/day</w:t>
            </w:r>
          </w:p>
        </w:tc>
        <w:tc>
          <w:tcPr>
            <w:tcW w:type="dxa" w:w="44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051422"/>
                <w:sz w:val="20"/>
                <w:szCs w:val="20"/>
              </w:rPr>
              <w:t xml:space="preserve">Usage alert (possible wastage or leak)</w:t>
            </w:r>
          </w:p>
        </w:tc>
      </w:tr>
    </w:tbl>
    <w:p>
      <w:pPr>
        <w:spacing w:after="80"/>
      </w:pPr>
    </w:p>
    <w:p>
      <w:pPr>
        <w:pStyle w:val="Heading2"/>
        <w:spacing w:after="160" w:before="280"/>
      </w:pPr>
      <w:r>
        <w:rPr>
          <w:rFonts w:ascii="Arial" w:cs="Arial" w:eastAsia="Arial" w:hAnsi="Arial"/>
          <w:b/>
          <w:bCs/>
          <w:color w:val="088395"/>
          <w:sz w:val="26"/>
          <w:szCs w:val="26"/>
        </w:rPr>
        <w:t xml:space="preserve">5.2 Trend Calculation</w:t>
      </w:r>
    </w:p>
    <w:p>
      <w:pPr>
        <w:spacing w:after="140" w:line="276"/>
        <w:jc w:val="both"/>
      </w:pPr>
      <w:r>
        <w:rPr>
          <w:rFonts w:ascii="Arial" w:cs="Arial" w:eastAsia="Arial" w:hAnsi="Arial"/>
          <w:color w:val="051422"/>
          <w:sz w:val="22"/>
          <w:szCs w:val="22"/>
        </w:rPr>
        <w:t xml:space="preserve">Consumption trend is derived by comparing the first and last readings (after sorting by date):</w:t>
      </w:r>
    </w:p>
    <w:p>
      <w:pPr>
        <w:pStyle w:val="ListParagraph"/>
        <w:numPr>
          <w:ilvl w:val="0"/>
          <w:numId w:val="2"/>
        </w:numPr>
        <w:spacing w:after="80"/>
      </w:pPr>
      <w:r>
        <w:rPr>
          <w:rFonts w:ascii="Arial" w:cs="Arial" w:eastAsia="Arial" w:hAnsi="Arial"/>
          <w:color w:val="051422"/>
          <w:sz w:val="22"/>
          <w:szCs w:val="22"/>
        </w:rPr>
        <w:t xml:space="preserve">Increase greater than 15% → “Increasing” (needs attention)</w:t>
      </w:r>
    </w:p>
    <w:p>
      <w:pPr>
        <w:pStyle w:val="ListParagraph"/>
        <w:numPr>
          <w:ilvl w:val="0"/>
          <w:numId w:val="2"/>
        </w:numPr>
        <w:spacing w:after="80"/>
      </w:pPr>
      <w:r>
        <w:rPr>
          <w:rFonts w:ascii="Arial" w:cs="Arial" w:eastAsia="Arial" w:hAnsi="Arial"/>
          <w:color w:val="051422"/>
          <w:sz w:val="22"/>
          <w:szCs w:val="22"/>
        </w:rPr>
        <w:t xml:space="preserve">Decrease greater than 15% → “Decreasing” (good conservation)</w:t>
      </w:r>
    </w:p>
    <w:p>
      <w:pPr>
        <w:pStyle w:val="ListParagraph"/>
        <w:numPr>
          <w:ilvl w:val="0"/>
          <w:numId w:val="2"/>
        </w:numPr>
        <w:spacing w:after="80"/>
      </w:pPr>
      <w:r>
        <w:rPr>
          <w:rFonts w:ascii="Arial" w:cs="Arial" w:eastAsia="Arial" w:hAnsi="Arial"/>
          <w:color w:val="051422"/>
          <w:sz w:val="22"/>
          <w:szCs w:val="22"/>
        </w:rPr>
        <w:t xml:space="preserve">Otherwise → “Stable”</w:t>
      </w:r>
    </w:p>
    <w:p>
      <w:pPr>
        <w:pStyle w:val="Heading2"/>
        <w:spacing w:after="160" w:before="280"/>
      </w:pPr>
      <w:r>
        <w:rPr>
          <w:rFonts w:ascii="Arial" w:cs="Arial" w:eastAsia="Arial" w:hAnsi="Arial"/>
          <w:b/>
          <w:bCs/>
          <w:color w:val="088395"/>
          <w:sz w:val="26"/>
          <w:szCs w:val="26"/>
        </w:rPr>
        <w:t xml:space="preserve">5.3 Recommendation Engine</w:t>
      </w:r>
    </w:p>
    <w:p>
      <w:pPr>
        <w:spacing w:after="140" w:line="276"/>
        <w:jc w:val="both"/>
      </w:pPr>
      <w:r>
        <w:rPr>
          <w:rFonts w:ascii="Arial" w:cs="Arial" w:eastAsia="Arial" w:hAnsi="Arial"/>
          <w:color w:val="051422"/>
          <w:sz w:val="22"/>
          <w:szCs w:val="22"/>
        </w:rPr>
        <w:t xml:space="preserve">Recommendations are generated from average consumption, trend direction and the presence of quality alerts. The system always returns practical, human-readable advice.</w:t>
      </w:r>
    </w:p>
    <w:p>
      <w:pPr>
        <w:pStyle w:val="Heading1"/>
        <w:spacing w:after="200" w:before="360"/>
      </w:pPr>
      <w:r>
        <w:rPr>
          <w:rFonts w:ascii="Arial" w:cs="Arial" w:eastAsia="Arial" w:hAnsi="Arial"/>
          <w:b/>
          <w:bCs/>
          <w:color w:val="0A4D68"/>
          <w:sz w:val="32"/>
          <w:szCs w:val="32"/>
        </w:rPr>
        <w:t xml:space="preserve">6. Input–Output Flow</w:t>
      </w:r>
    </w:p>
    <w:p>
      <w:pPr>
        <w:spacing w:after="120"/>
      </w:pPr>
      <w:r>
        <w:rPr>
          <w:rFonts w:ascii="Arial" w:cs="Arial" w:eastAsia="Arial" w:hAnsi="Arial"/>
          <w:b/>
          <w:bCs/>
          <w:color w:val="051422"/>
          <w:sz w:val="22"/>
          <w:szCs w:val="22"/>
        </w:rPr>
        <w:t xml:space="preserve">Input</w:t>
      </w:r>
    </w:p>
    <w:p>
      <w:pPr>
        <w:pStyle w:val="ListParagraph"/>
        <w:numPr>
          <w:ilvl w:val="0"/>
          <w:numId w:val="2"/>
        </w:numPr>
        <w:spacing w:after="80"/>
      </w:pPr>
      <w:r>
        <w:rPr>
          <w:rFonts w:ascii="Arial" w:cs="Arial" w:eastAsia="Arial" w:hAnsi="Arial"/>
          <w:color w:val="051422"/>
          <w:sz w:val="22"/>
          <w:szCs w:val="22"/>
        </w:rPr>
        <w:t xml:space="preserve">Location name, address and type</w:t>
      </w:r>
    </w:p>
    <w:p>
      <w:pPr>
        <w:pStyle w:val="ListParagraph"/>
        <w:numPr>
          <w:ilvl w:val="0"/>
          <w:numId w:val="2"/>
        </w:numPr>
        <w:spacing w:after="80"/>
      </w:pPr>
      <w:r>
        <w:rPr>
          <w:rFonts w:ascii="Arial" w:cs="Arial" w:eastAsia="Arial" w:hAnsi="Arial"/>
          <w:color w:val="051422"/>
          <w:sz w:val="22"/>
          <w:szCs w:val="22"/>
        </w:rPr>
        <w:t xml:space="preserve">User name</w:t>
      </w:r>
    </w:p>
    <w:p>
      <w:pPr>
        <w:pStyle w:val="ListParagraph"/>
        <w:numPr>
          <w:ilvl w:val="0"/>
          <w:numId w:val="2"/>
        </w:numPr>
        <w:spacing w:after="80"/>
      </w:pPr>
      <w:r>
        <w:rPr>
          <w:rFonts w:ascii="Arial" w:cs="Arial" w:eastAsia="Arial" w:hAnsi="Arial"/>
          <w:color w:val="051422"/>
          <w:sz w:val="22"/>
          <w:szCs w:val="22"/>
        </w:rPr>
        <w:t xml:space="preserve">Date (YYYY-MM-DD)</w:t>
      </w:r>
    </w:p>
    <w:p>
      <w:pPr>
        <w:pStyle w:val="ListParagraph"/>
        <w:numPr>
          <w:ilvl w:val="0"/>
          <w:numId w:val="2"/>
        </w:numPr>
        <w:spacing w:after="80"/>
      </w:pPr>
      <w:r>
        <w:rPr>
          <w:rFonts w:ascii="Arial" w:cs="Arial" w:eastAsia="Arial" w:hAnsi="Arial"/>
          <w:color w:val="051422"/>
          <w:sz w:val="22"/>
          <w:szCs w:val="22"/>
        </w:rPr>
        <w:t xml:space="preserve">Daily consumption in litres</w:t>
      </w:r>
    </w:p>
    <w:p>
      <w:pPr>
        <w:pStyle w:val="ListParagraph"/>
        <w:numPr>
          <w:ilvl w:val="0"/>
          <w:numId w:val="2"/>
        </w:numPr>
        <w:spacing w:after="80"/>
      </w:pPr>
      <w:r>
        <w:rPr>
          <w:rFonts w:ascii="Arial" w:cs="Arial" w:eastAsia="Arial" w:hAnsi="Arial"/>
          <w:color w:val="051422"/>
          <w:sz w:val="22"/>
          <w:szCs w:val="22"/>
        </w:rPr>
        <w:t xml:space="preserve">pH value</w:t>
      </w:r>
    </w:p>
    <w:p>
      <w:pPr>
        <w:pStyle w:val="ListParagraph"/>
        <w:numPr>
          <w:ilvl w:val="0"/>
          <w:numId w:val="2"/>
        </w:numPr>
        <w:spacing w:after="80"/>
      </w:pPr>
      <w:r>
        <w:rPr>
          <w:rFonts w:ascii="Arial" w:cs="Arial" w:eastAsia="Arial" w:hAnsi="Arial"/>
          <w:color w:val="051422"/>
          <w:sz w:val="22"/>
          <w:szCs w:val="22"/>
        </w:rPr>
        <w:t xml:space="preserve">Turbidity in NTU</w:t>
      </w:r>
    </w:p>
    <w:p>
      <w:pPr>
        <w:spacing w:after="120"/>
      </w:pPr>
      <w:r>
        <w:rPr>
          <w:rFonts w:ascii="Arial" w:cs="Arial" w:eastAsia="Arial" w:hAnsi="Arial"/>
          <w:b/>
          <w:bCs/>
          <w:color w:val="051422"/>
          <w:sz w:val="22"/>
          <w:szCs w:val="22"/>
        </w:rPr>
        <w:t xml:space="preserve">Processing</w:t>
      </w:r>
    </w:p>
    <w:p>
      <w:pPr>
        <w:pStyle w:val="ListParagraph"/>
        <w:numPr>
          <w:ilvl w:val="0"/>
          <w:numId w:val="2"/>
        </w:numPr>
        <w:spacing w:after="80"/>
      </w:pPr>
      <w:r>
        <w:rPr>
          <w:rFonts w:ascii="Arial" w:cs="Arial" w:eastAsia="Arial" w:hAnsi="Arial"/>
          <w:color w:val="051422"/>
          <w:sz w:val="22"/>
          <w:szCs w:val="22"/>
        </w:rPr>
        <w:t xml:space="preserve">Validation of numeric fields and date format</w:t>
      </w:r>
    </w:p>
    <w:p>
      <w:pPr>
        <w:pStyle w:val="ListParagraph"/>
        <w:numPr>
          <w:ilvl w:val="0"/>
          <w:numId w:val="2"/>
        </w:numPr>
        <w:spacing w:after="80"/>
      </w:pPr>
      <w:r>
        <w:rPr>
          <w:rFonts w:ascii="Arial" w:cs="Arial" w:eastAsia="Arial" w:hAnsi="Arial"/>
          <w:color w:val="051422"/>
          <w:sz w:val="22"/>
          <w:szCs w:val="22"/>
        </w:rPr>
        <w:t xml:space="preserve">Creation of Location, User and WaterReading objects</w:t>
      </w:r>
    </w:p>
    <w:p>
      <w:pPr>
        <w:pStyle w:val="ListParagraph"/>
        <w:numPr>
          <w:ilvl w:val="0"/>
          <w:numId w:val="2"/>
        </w:numPr>
        <w:spacing w:after="80"/>
      </w:pPr>
      <w:r>
        <w:rPr>
          <w:rFonts w:ascii="Arial" w:cs="Arial" w:eastAsia="Arial" w:hAnsi="Arial"/>
          <w:color w:val="051422"/>
          <w:sz w:val="22"/>
          <w:szCs w:val="22"/>
        </w:rPr>
        <w:t xml:space="preserve">Threshold evaluation and alert generation</w:t>
      </w:r>
    </w:p>
    <w:p>
      <w:pPr>
        <w:pStyle w:val="ListParagraph"/>
        <w:numPr>
          <w:ilvl w:val="0"/>
          <w:numId w:val="2"/>
        </w:numPr>
        <w:spacing w:after="80"/>
      </w:pPr>
      <w:r>
        <w:rPr>
          <w:rFonts w:ascii="Arial" w:cs="Arial" w:eastAsia="Arial" w:hAnsi="Arial"/>
          <w:color w:val="051422"/>
          <w:sz w:val="22"/>
          <w:szCs w:val="22"/>
        </w:rPr>
        <w:t xml:space="preserve">Aggregation into MonitoringReport</w:t>
      </w:r>
    </w:p>
    <w:p>
      <w:pPr>
        <w:spacing w:after="120"/>
      </w:pPr>
      <w:r>
        <w:rPr>
          <w:rFonts w:ascii="Arial" w:cs="Arial" w:eastAsia="Arial" w:hAnsi="Arial"/>
          <w:b/>
          <w:bCs/>
          <w:color w:val="051422"/>
          <w:sz w:val="22"/>
          <w:szCs w:val="22"/>
        </w:rPr>
        <w:t xml:space="preserve">Output</w:t>
      </w:r>
    </w:p>
    <w:p>
      <w:pPr>
        <w:pStyle w:val="ListParagraph"/>
        <w:numPr>
          <w:ilvl w:val="0"/>
          <w:numId w:val="2"/>
        </w:numPr>
        <w:spacing w:after="80"/>
      </w:pPr>
      <w:r>
        <w:rPr>
          <w:rFonts w:ascii="Arial" w:cs="Arial" w:eastAsia="Arial" w:hAnsi="Arial"/>
          <w:color w:val="051422"/>
          <w:sz w:val="22"/>
          <w:szCs w:val="22"/>
        </w:rPr>
        <w:t xml:space="preserve">Live list of recorded readings with Normal / Abnormal status</w:t>
      </w:r>
    </w:p>
    <w:p>
      <w:pPr>
        <w:pStyle w:val="ListParagraph"/>
        <w:numPr>
          <w:ilvl w:val="0"/>
          <w:numId w:val="2"/>
        </w:numPr>
        <w:spacing w:after="80"/>
      </w:pPr>
      <w:r>
        <w:rPr>
          <w:rFonts w:ascii="Arial" w:cs="Arial" w:eastAsia="Arial" w:hAnsi="Arial"/>
          <w:color w:val="051422"/>
          <w:sz w:val="22"/>
          <w:szCs w:val="22"/>
        </w:rPr>
        <w:t xml:space="preserve">Complete Monitoring Report containing:</w:t>
      </w:r>
    </w:p>
    <w:p>
      <w:pPr>
        <w:pStyle w:val="ListParagraph"/>
        <w:numPr>
          <w:ilvl w:val="0"/>
          <w:numId w:val="2"/>
        </w:numPr>
        <w:spacing w:after="80"/>
      </w:pPr>
      <w:r>
        <w:rPr>
          <w:rFonts w:ascii="Arial" w:cs="Arial" w:eastAsia="Arial" w:hAnsi="Arial"/>
          <w:color w:val="051422"/>
          <w:sz w:val="22"/>
          <w:szCs w:val="22"/>
        </w:rPr>
        <w:t xml:space="preserve">   – Consumption summary and average</w:t>
      </w:r>
    </w:p>
    <w:p>
      <w:pPr>
        <w:pStyle w:val="ListParagraph"/>
        <w:numPr>
          <w:ilvl w:val="0"/>
          <w:numId w:val="2"/>
        </w:numPr>
        <w:spacing w:after="80"/>
      </w:pPr>
      <w:r>
        <w:rPr>
          <w:rFonts w:ascii="Arial" w:cs="Arial" w:eastAsia="Arial" w:hAnsi="Arial"/>
          <w:color w:val="051422"/>
          <w:sz w:val="22"/>
          <w:szCs w:val="22"/>
        </w:rPr>
        <w:t xml:space="preserve">   – Quality status (NORMAL / ATTENTION NEEDED)</w:t>
      </w:r>
    </w:p>
    <w:p>
      <w:pPr>
        <w:pStyle w:val="ListParagraph"/>
        <w:numPr>
          <w:ilvl w:val="0"/>
          <w:numId w:val="2"/>
        </w:numPr>
        <w:spacing w:after="80"/>
      </w:pPr>
      <w:r>
        <w:rPr>
          <w:rFonts w:ascii="Arial" w:cs="Arial" w:eastAsia="Arial" w:hAnsi="Arial"/>
          <w:color w:val="051422"/>
          <w:sz w:val="22"/>
          <w:szCs w:val="22"/>
        </w:rPr>
        <w:t xml:space="preserve">   – All triggered alerts</w:t>
      </w:r>
    </w:p>
    <w:p>
      <w:pPr>
        <w:pStyle w:val="ListParagraph"/>
        <w:numPr>
          <w:ilvl w:val="0"/>
          <w:numId w:val="2"/>
        </w:numPr>
        <w:spacing w:after="80"/>
      </w:pPr>
      <w:r>
        <w:rPr>
          <w:rFonts w:ascii="Arial" w:cs="Arial" w:eastAsia="Arial" w:hAnsi="Arial"/>
          <w:color w:val="051422"/>
          <w:sz w:val="22"/>
          <w:szCs w:val="22"/>
        </w:rPr>
        <w:t xml:space="preserve">   – Consumption trend</w:t>
      </w:r>
    </w:p>
    <w:p>
      <w:pPr>
        <w:pStyle w:val="ListParagraph"/>
        <w:numPr>
          <w:ilvl w:val="0"/>
          <w:numId w:val="2"/>
        </w:numPr>
        <w:spacing w:after="80"/>
      </w:pPr>
      <w:r>
        <w:rPr>
          <w:rFonts w:ascii="Arial" w:cs="Arial" w:eastAsia="Arial" w:hAnsi="Arial"/>
          <w:color w:val="051422"/>
          <w:sz w:val="22"/>
          <w:szCs w:val="22"/>
        </w:rPr>
        <w:t xml:space="preserve">   – Recommended conservation actions</w:t>
      </w:r>
    </w:p>
    <w:p>
      <w:pPr>
        <w:pStyle w:val="Heading1"/>
        <w:spacing w:after="200" w:before="360"/>
      </w:pPr>
      <w:r>
        <w:rPr>
          <w:rFonts w:ascii="Arial" w:cs="Arial" w:eastAsia="Arial" w:hAnsi="Arial"/>
          <w:b/>
          <w:bCs/>
          <w:color w:val="0A4D68"/>
          <w:sz w:val="32"/>
          <w:szCs w:val="32"/>
        </w:rPr>
        <w:t xml:space="preserve">7. Testing</w:t>
      </w:r>
    </w:p>
    <w:p>
      <w:pPr>
        <w:spacing w:after="140" w:line="276"/>
        <w:jc w:val="both"/>
      </w:pPr>
      <w:r>
        <w:rPr>
          <w:rFonts w:ascii="Arial" w:cs="Arial" w:eastAsia="Arial" w:hAnsi="Arial"/>
          <w:color w:val="051422"/>
          <w:sz w:val="22"/>
          <w:szCs w:val="22"/>
        </w:rPr>
        <w:t xml:space="preserve">The system was tested using representative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0A4D68" w:val="clear"/>
            <w:tcMar>
              <w:top w:type="dxa" w:w="60"/>
              <w:left w:type="dxa" w:w="80"/>
              <w:bottom w:type="dxa" w:w="60"/>
              <w:right w:type="dxa" w:w="80"/>
            </w:tcMar>
          </w:tcPr>
          <w:p>
            <w:r>
              <w:rPr>
                <w:rFonts w:ascii="Arial" w:cs="Arial" w:eastAsia="Arial" w:hAnsi="Arial"/>
                <w:b/>
                <w:bCs/>
                <w:color w:val="FFFFFF"/>
                <w:sz w:val="18"/>
                <w:szCs w:val="18"/>
              </w:rPr>
              <w:t xml:space="preserve">Scenario</w:t>
            </w:r>
          </w:p>
        </w:tc>
        <w:tc>
          <w:tcPr>
            <w:tcW w:type="dxa" w:w="3840"/>
            <w:tcBorders>
              <w:top w:val="single" w:color="CCCCCC" w:sz="1"/>
              <w:left w:val="single" w:color="CCCCCC" w:sz="1"/>
              <w:bottom w:val="single" w:color="CCCCCC" w:sz="1"/>
              <w:right w:val="single" w:color="CCCCCC" w:sz="1"/>
            </w:tcBorders>
            <w:shd w:fill="0A4D68" w:val="clear"/>
            <w:tcMar>
              <w:top w:type="dxa" w:w="60"/>
              <w:left w:type="dxa" w:w="80"/>
              <w:bottom w:type="dxa" w:w="60"/>
              <w:right w:type="dxa" w:w="80"/>
            </w:tcMar>
          </w:tcPr>
          <w:p>
            <w:r>
              <w:rPr>
                <w:rFonts w:ascii="Arial" w:cs="Arial" w:eastAsia="Arial" w:hAnsi="Arial"/>
                <w:b/>
                <w:bCs/>
                <w:color w:val="FFFFFF"/>
                <w:sz w:val="18"/>
                <w:szCs w:val="18"/>
              </w:rPr>
              <w:t xml:space="preserve">Sample Values</w:t>
            </w:r>
          </w:p>
        </w:tc>
        <w:tc>
          <w:tcPr>
            <w:tcW w:type="dxa" w:w="3840"/>
            <w:tcBorders>
              <w:top w:val="single" w:color="CCCCCC" w:sz="1"/>
              <w:left w:val="single" w:color="CCCCCC" w:sz="1"/>
              <w:bottom w:val="single" w:color="CCCCCC" w:sz="1"/>
              <w:right w:val="single" w:color="CCCCCC" w:sz="1"/>
            </w:tcBorders>
            <w:shd w:fill="0A4D68" w:val="clear"/>
            <w:tcMar>
              <w:top w:type="dxa" w:w="60"/>
              <w:left w:type="dxa" w:w="80"/>
              <w:bottom w:type="dxa" w:w="60"/>
              <w:right w:type="dxa" w:w="80"/>
            </w:tcMar>
          </w:tcPr>
          <w:p>
            <w:r>
              <w:rPr>
                <w:rFonts w:ascii="Arial" w:cs="Arial" w:eastAsia="Arial" w:hAnsi="Arial"/>
                <w:b/>
                <w:bCs/>
                <w:color w:val="FFFFFF"/>
                <w:sz w:val="18"/>
                <w:szCs w:val="18"/>
              </w:rPr>
              <w:t xml:space="preserve">Expected Result</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051422"/>
                <w:sz w:val="18"/>
                <w:szCs w:val="18"/>
              </w:rPr>
              <w:t xml:space="preserve">Normal</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051422"/>
                <w:sz w:val="18"/>
                <w:szCs w:val="18"/>
              </w:rPr>
              <w:t xml:space="preserve">320 L • pH 7.1 • 2.3 NTU</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051422"/>
                <w:sz w:val="18"/>
                <w:szCs w:val="18"/>
              </w:rPr>
              <w:t xml:space="preserve">Status: NORMAL</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051422"/>
                <w:sz w:val="18"/>
                <w:szCs w:val="18"/>
              </w:rPr>
              <w:t xml:space="preserve">Quality Alert</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051422"/>
                <w:sz w:val="18"/>
                <w:szCs w:val="18"/>
              </w:rPr>
              <w:t xml:space="preserve">450 L • pH 6.2 • 6.8 NTU</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051422"/>
                <w:sz w:val="18"/>
                <w:szCs w:val="18"/>
              </w:rPr>
              <w:t xml:space="preserve">Quality warnings raised</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051422"/>
                <w:sz w:val="18"/>
                <w:szCs w:val="18"/>
              </w:rPr>
              <w:t xml:space="preserve">Usage Alert</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051422"/>
                <w:sz w:val="18"/>
                <w:szCs w:val="18"/>
              </w:rPr>
              <w:t xml:space="preserve">510 L • pH 7.4 • 3.1 NTU</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051422"/>
                <w:sz w:val="18"/>
                <w:szCs w:val="18"/>
              </w:rPr>
              <w:t xml:space="preserve">High consumption alert</w:t>
            </w:r>
          </w:p>
        </w:tc>
      </w:tr>
    </w:tbl>
    <w:p>
      <w:pPr>
        <w:spacing w:after="80"/>
      </w:pPr>
    </w:p>
    <w:p>
      <w:pPr>
        <w:spacing w:after="140" w:line="276"/>
        <w:jc w:val="both"/>
      </w:pPr>
      <w:r>
        <w:rPr>
          <w:rFonts w:ascii="Arial" w:cs="Arial" w:eastAsia="Arial" w:hAnsi="Arial"/>
          <w:color w:val="051422"/>
          <w:sz w:val="22"/>
          <w:szCs w:val="22"/>
        </w:rPr>
        <w:t xml:space="preserve">Additional functional checks performed: valid input, invalid input handling, multiple locations, report generation, and GUI responsiveness.</w:t>
      </w:r>
    </w:p>
    <w:p>
      <w:pPr>
        <w:pStyle w:val="Heading1"/>
        <w:spacing w:after="200" w:before="360"/>
      </w:pPr>
      <w:r>
        <w:rPr>
          <w:rFonts w:ascii="Arial" w:cs="Arial" w:eastAsia="Arial" w:hAnsi="Arial"/>
          <w:b/>
          <w:bCs/>
          <w:color w:val="0A4D68"/>
          <w:sz w:val="32"/>
          <w:szCs w:val="32"/>
        </w:rPr>
        <w:t xml:space="preserve">8. How AquaGuard Helps People in Real Life</w:t>
      </w:r>
    </w:p>
    <w:p>
      <w:pPr>
        <w:spacing w:after="140" w:line="276"/>
        <w:jc w:val="both"/>
      </w:pPr>
      <w:r>
        <w:rPr>
          <w:rFonts w:ascii="Arial" w:cs="Arial" w:eastAsia="Arial" w:hAnsi="Arial"/>
          <w:color w:val="051422"/>
          <w:sz w:val="22"/>
          <w:szCs w:val="22"/>
        </w:rPr>
        <w:t xml:space="preserve">AquaGuard is designed as a practical awareness tool for households, schools and small communities:</w:t>
      </w:r>
    </w:p>
    <w:p>
      <w:pPr>
        <w:pStyle w:val="ListParagraph"/>
        <w:numPr>
          <w:ilvl w:val="0"/>
          <w:numId w:val="2"/>
        </w:numPr>
        <w:spacing w:after="80"/>
      </w:pPr>
      <w:r>
        <w:rPr>
          <w:rFonts w:ascii="Arial" w:cs="Arial" w:eastAsia="Arial" w:hAnsi="Arial"/>
          <w:color w:val="051422"/>
          <w:sz w:val="22"/>
          <w:szCs w:val="22"/>
        </w:rPr>
        <w:t xml:space="preserve">Families can see if their daily water use is rising and take simple steps to reduce waste.</w:t>
      </w:r>
    </w:p>
    <w:p>
      <w:pPr>
        <w:pStyle w:val="ListParagraph"/>
        <w:numPr>
          <w:ilvl w:val="0"/>
          <w:numId w:val="2"/>
        </w:numPr>
        <w:spacing w:after="80"/>
      </w:pPr>
      <w:r>
        <w:rPr>
          <w:rFonts w:ascii="Arial" w:cs="Arial" w:eastAsia="Arial" w:hAnsi="Arial"/>
          <w:color w:val="051422"/>
          <w:sz w:val="22"/>
          <w:szCs w:val="22"/>
        </w:rPr>
        <w:t xml:space="preserve">Schools can monitor overall consumption and educate students about responsible use.</w:t>
      </w:r>
    </w:p>
    <w:p>
      <w:pPr>
        <w:pStyle w:val="ListParagraph"/>
        <w:numPr>
          <w:ilvl w:val="0"/>
          <w:numId w:val="2"/>
        </w:numPr>
        <w:spacing w:after="80"/>
      </w:pPr>
      <w:r>
        <w:rPr>
          <w:rFonts w:ascii="Arial" w:cs="Arial" w:eastAsia="Arial" w:hAnsi="Arial"/>
          <w:color w:val="051422"/>
          <w:sz w:val="22"/>
          <w:szCs w:val="22"/>
        </w:rPr>
        <w:t xml:space="preserve">Community managers can flag unusual pH or turbidity readings and arrange further testing.</w:t>
      </w:r>
    </w:p>
    <w:p>
      <w:pPr>
        <w:pStyle w:val="ListParagraph"/>
        <w:numPr>
          <w:ilvl w:val="0"/>
          <w:numId w:val="2"/>
        </w:numPr>
        <w:spacing w:after="80"/>
      </w:pPr>
      <w:r>
        <w:rPr>
          <w:rFonts w:ascii="Arial" w:cs="Arial" w:eastAsia="Arial" w:hAnsi="Arial"/>
          <w:color w:val="051422"/>
          <w:sz w:val="22"/>
          <w:szCs w:val="22"/>
        </w:rPr>
        <w:t xml:space="preserve">The clear report format turns raw numbers into understandable decisions and actions.</w:t>
      </w:r>
    </w:p>
    <w:p>
      <w:pPr>
        <w:spacing w:after="140" w:line="276"/>
        <w:jc w:val="both"/>
      </w:pPr>
      <w:r>
        <w:rPr>
          <w:rFonts w:ascii="Arial" w:cs="Arial" w:eastAsia="Arial" w:hAnsi="Arial"/>
          <w:color w:val="051422"/>
          <w:sz w:val="22"/>
          <w:szCs w:val="22"/>
        </w:rPr>
        <w:t xml:space="preserve">By combining usage tracking with basic quality observation, AquaGuard supports both conservation and safer water practices at the local level.</w:t>
      </w:r>
    </w:p>
    <w:p>
      <w:pPr>
        <w:pStyle w:val="Heading1"/>
        <w:spacing w:after="200" w:before="360"/>
      </w:pPr>
      <w:r>
        <w:rPr>
          <w:rFonts w:ascii="Arial" w:cs="Arial" w:eastAsia="Arial" w:hAnsi="Arial"/>
          <w:b/>
          <w:bCs/>
          <w:color w:val="0A4D68"/>
          <w:sz w:val="32"/>
          <w:szCs w:val="32"/>
        </w:rPr>
        <w:t xml:space="preserve">9. Limitations</w:t>
      </w:r>
    </w:p>
    <w:p>
      <w:pPr>
        <w:pStyle w:val="ListParagraph"/>
        <w:numPr>
          <w:ilvl w:val="0"/>
          <w:numId w:val="2"/>
        </w:numPr>
        <w:spacing w:after="80"/>
      </w:pPr>
      <w:r>
        <w:rPr>
          <w:rFonts w:ascii="Arial" w:cs="Arial" w:eastAsia="Arial" w:hAnsi="Arial"/>
          <w:color w:val="051422"/>
          <w:sz w:val="22"/>
          <w:szCs w:val="22"/>
        </w:rPr>
        <w:t xml:space="preserve">Thresholds are project-defined demonstration values; they do not replace certified laboratory or regulatory testing.</w:t>
      </w:r>
    </w:p>
    <w:p>
      <w:pPr>
        <w:pStyle w:val="ListParagraph"/>
        <w:numPr>
          <w:ilvl w:val="0"/>
          <w:numId w:val="2"/>
        </w:numPr>
        <w:spacing w:after="80"/>
      </w:pPr>
      <w:r>
        <w:rPr>
          <w:rFonts w:ascii="Arial" w:cs="Arial" w:eastAsia="Arial" w:hAnsi="Arial"/>
          <w:color w:val="051422"/>
          <w:sz w:val="22"/>
          <w:szCs w:val="22"/>
        </w:rPr>
        <w:t xml:space="preserve">Current version uses in-memory / sample data (SQLite persistence can be added easily).</w:t>
      </w:r>
    </w:p>
    <w:p>
      <w:pPr>
        <w:pStyle w:val="ListParagraph"/>
        <w:numPr>
          <w:ilvl w:val="0"/>
          <w:numId w:val="2"/>
        </w:numPr>
        <w:spacing w:after="80"/>
      </w:pPr>
      <w:r>
        <w:rPr>
          <w:rFonts w:ascii="Arial" w:cs="Arial" w:eastAsia="Arial" w:hAnsi="Arial"/>
          <w:color w:val="051422"/>
          <w:sz w:val="22"/>
          <w:szCs w:val="22"/>
        </w:rPr>
        <w:t xml:space="preserve">No real-time IoT sensor integration in the prototype.</w:t>
      </w:r>
    </w:p>
    <w:p>
      <w:pPr>
        <w:pStyle w:val="ListParagraph"/>
        <w:numPr>
          <w:ilvl w:val="0"/>
          <w:numId w:val="2"/>
        </w:numPr>
        <w:spacing w:after="80"/>
      </w:pPr>
      <w:r>
        <w:rPr>
          <w:rFonts w:ascii="Arial" w:cs="Arial" w:eastAsia="Arial" w:hAnsi="Arial"/>
          <w:color w:val="051422"/>
          <w:sz w:val="22"/>
          <w:szCs w:val="22"/>
        </w:rPr>
        <w:t xml:space="preserve">Trend analysis is intentionally simple for clarity and transparency.</w:t>
      </w:r>
    </w:p>
    <w:p>
      <w:pPr>
        <w:pStyle w:val="Heading1"/>
        <w:spacing w:after="200" w:before="360"/>
      </w:pPr>
      <w:r>
        <w:rPr>
          <w:rFonts w:ascii="Arial" w:cs="Arial" w:eastAsia="Arial" w:hAnsi="Arial"/>
          <w:b/>
          <w:bCs/>
          <w:color w:val="0A4D68"/>
          <w:sz w:val="32"/>
          <w:szCs w:val="32"/>
        </w:rPr>
        <w:t xml:space="preserve">10. Future Scope</w:t>
      </w:r>
    </w:p>
    <w:p>
      <w:pPr>
        <w:pStyle w:val="ListParagraph"/>
        <w:numPr>
          <w:ilvl w:val="0"/>
          <w:numId w:val="2"/>
        </w:numPr>
        <w:spacing w:after="80"/>
      </w:pPr>
      <w:r>
        <w:rPr>
          <w:rFonts w:ascii="Arial" w:cs="Arial" w:eastAsia="Arial" w:hAnsi="Arial"/>
          <w:color w:val="051422"/>
          <w:sz w:val="22"/>
          <w:szCs w:val="22"/>
        </w:rPr>
        <w:t xml:space="preserve">Integration with IoT water sensors for automated readings.</w:t>
      </w:r>
    </w:p>
    <w:p>
      <w:pPr>
        <w:pStyle w:val="ListParagraph"/>
        <w:numPr>
          <w:ilvl w:val="0"/>
          <w:numId w:val="2"/>
        </w:numPr>
        <w:spacing w:after="80"/>
      </w:pPr>
      <w:r>
        <w:rPr>
          <w:rFonts w:ascii="Arial" w:cs="Arial" w:eastAsia="Arial" w:hAnsi="Arial"/>
          <w:color w:val="051422"/>
          <w:sz w:val="22"/>
          <w:szCs w:val="22"/>
        </w:rPr>
        <w:t xml:space="preserve">Cloud synchronisation for multi-location access.</w:t>
      </w:r>
    </w:p>
    <w:p>
      <w:pPr>
        <w:pStyle w:val="ListParagraph"/>
        <w:numPr>
          <w:ilvl w:val="0"/>
          <w:numId w:val="2"/>
        </w:numPr>
        <w:spacing w:after="80"/>
      </w:pPr>
      <w:r>
        <w:rPr>
          <w:rFonts w:ascii="Arial" w:cs="Arial" w:eastAsia="Arial" w:hAnsi="Arial"/>
          <w:color w:val="051422"/>
          <w:sz w:val="22"/>
          <w:szCs w:val="22"/>
        </w:rPr>
        <w:t xml:space="preserve">Advanced anomaly detection using historical patterns.</w:t>
      </w:r>
    </w:p>
    <w:p>
      <w:pPr>
        <w:pStyle w:val="ListParagraph"/>
        <w:numPr>
          <w:ilvl w:val="0"/>
          <w:numId w:val="2"/>
        </w:numPr>
        <w:spacing w:after="80"/>
      </w:pPr>
      <w:r>
        <w:rPr>
          <w:rFonts w:ascii="Arial" w:cs="Arial" w:eastAsia="Arial" w:hAnsi="Arial"/>
          <w:color w:val="051422"/>
          <w:sz w:val="22"/>
          <w:szCs w:val="22"/>
        </w:rPr>
        <w:t xml:space="preserve">Email / SMS / mobile notifications for critical alerts.</w:t>
      </w:r>
    </w:p>
    <w:p>
      <w:pPr>
        <w:pStyle w:val="ListParagraph"/>
        <w:numPr>
          <w:ilvl w:val="0"/>
          <w:numId w:val="2"/>
        </w:numPr>
        <w:spacing w:after="80"/>
      </w:pPr>
      <w:r>
        <w:rPr>
          <w:rFonts w:ascii="Arial" w:cs="Arial" w:eastAsia="Arial" w:hAnsi="Arial"/>
          <w:color w:val="051422"/>
          <w:sz w:val="22"/>
          <w:szCs w:val="22"/>
        </w:rPr>
        <w:t xml:space="preserve">Multi-user roles and authentication.</w:t>
      </w:r>
    </w:p>
    <w:p>
      <w:pPr>
        <w:pStyle w:val="ListParagraph"/>
        <w:numPr>
          <w:ilvl w:val="0"/>
          <w:numId w:val="2"/>
        </w:numPr>
        <w:spacing w:after="80"/>
      </w:pPr>
      <w:r>
        <w:rPr>
          <w:rFonts w:ascii="Arial" w:cs="Arial" w:eastAsia="Arial" w:hAnsi="Arial"/>
          <w:color w:val="051422"/>
          <w:sz w:val="22"/>
          <w:szCs w:val="22"/>
        </w:rPr>
        <w:t xml:space="preserve">Export of reports to PDF or CSV.</w:t>
      </w:r>
    </w:p>
    <w:p>
      <w:pPr>
        <w:pStyle w:val="Heading1"/>
        <w:spacing w:after="200" w:before="360"/>
      </w:pPr>
      <w:r>
        <w:rPr>
          <w:rFonts w:ascii="Arial" w:cs="Arial" w:eastAsia="Arial" w:hAnsi="Arial"/>
          <w:b/>
          <w:bCs/>
          <w:color w:val="0A4D68"/>
          <w:sz w:val="32"/>
          <w:szCs w:val="32"/>
        </w:rPr>
        <w:t xml:space="preserve">11. Conclusion</w:t>
      </w:r>
    </w:p>
    <w:p>
      <w:pPr>
        <w:spacing w:after="140" w:line="276"/>
        <w:jc w:val="both"/>
      </w:pPr>
      <w:r>
        <w:rPr>
          <w:rFonts w:ascii="Arial" w:cs="Arial" w:eastAsia="Arial" w:hAnsi="Arial"/>
          <w:color w:val="051422"/>
          <w:sz w:val="22"/>
          <w:szCs w:val="22"/>
        </w:rPr>
        <w:t xml:space="preserve">AquaGuard successfully delivers a working, object-oriented Python prototype that meets all minimum functional requirements of the Hack-AI-Thon 2026 challenge. It records daily consumption and quality parameters, detects abnormal conditions, generates alerts and recommendations, and produces clear location-wise monitoring reports.</w:t>
      </w:r>
    </w:p>
    <w:p>
      <w:pPr>
        <w:spacing w:after="140" w:line="276"/>
        <w:jc w:val="both"/>
      </w:pPr>
      <w:r>
        <w:rPr>
          <w:rFonts w:ascii="Arial" w:cs="Arial" w:eastAsia="Arial" w:hAnsi="Arial"/>
          <w:color w:val="051422"/>
          <w:sz w:val="22"/>
          <w:szCs w:val="22"/>
        </w:rPr>
        <w:t xml:space="preserve">The project demonstrates strong use of Python fundamentals and OOP while remaining directly aligned with SDG 6 (Clean Water &amp; Sanitation) and SDG 12 (Responsible Consumption and Production).</w:t>
      </w:r>
    </w:p>
    <w:p>
      <w:pPr>
        <w:spacing w:after="140" w:line="276"/>
        <w:jc w:val="both"/>
      </w:pPr>
      <w:r>
        <w:rPr>
          <w:rFonts w:ascii="Arial" w:cs="Arial" w:eastAsia="Arial" w:hAnsi="Arial"/>
          <w:color w:val="051422"/>
          <w:sz w:val="22"/>
          <w:szCs w:val="22"/>
        </w:rPr>
        <w:t xml:space="preserve">Monitor water. Understand the data. Act before problems grow.</w:t>
      </w:r>
    </w:p>
    <w:p>
      <w:pPr>
        <w:spacing w:after="160"/>
      </w:pPr>
    </w:p>
    <w:p>
      <w:pPr>
        <w:jc w:val="center"/>
      </w:pPr>
      <w:r>
        <w:rPr>
          <w:rFonts w:ascii="Arial" w:cs="Arial" w:eastAsia="Arial" w:hAnsi="Arial"/>
          <w:i/>
          <w:iCs/>
          <w:color w:val="5A6A75"/>
          <w:sz w:val="20"/>
          <w:szCs w:val="20"/>
        </w:rPr>
        <w:t xml:space="preserve">— End of Documentation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8"/>
      </w:pBdr>
      <w:spacing w:before="80"/>
      <w:jc w:val="center"/>
    </w:pPr>
    <w:r>
      <w:rPr>
        <w:rFonts w:ascii="Arial" w:cs="Arial" w:eastAsia="Arial" w:hAnsi="Arial"/>
        <w:color w:val="5A6A75"/>
        <w:sz w:val="16"/>
        <w:szCs w:val="16"/>
      </w:rPr>
      <w:t xml:space="preserve">SDG 6 • Clean Water &amp; Sanitation   |   SDG 12 • Responsible Consumption   |   Page </w:t>
    </w:r>
    <w:r>
      <w:rPr>
        <w:rFonts w:ascii="Arial" w:cs="Arial" w:eastAsia="Arial" w:hAnsi="Arial"/>
        <w:color w:val="5A6A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8395" w:sz="12" w:space="8"/>
      </w:pBdr>
      <w:spacing w:after="120"/>
    </w:pPr>
    <w:r>
      <w:rPr>
        <w:rFonts w:ascii="Arial" w:cs="Arial" w:eastAsia="Arial" w:hAnsi="Arial"/>
        <w:b/>
        <w:bCs/>
        <w:color w:val="0A4D68"/>
        <w:sz w:val="18"/>
        <w:szCs w:val="18"/>
      </w:rPr>
      <w:t xml:space="preserve">AquaGuard  •  Project Documentation</w:t>
    </w:r>
    <w:r>
      <w:rPr>
        <w:sz w:val="18"/>
        <w:szCs w:val="18"/>
      </w:rPr>
      <w:t xml:space="preserve">                                                                                          </w:t>
    </w:r>
    <w:r>
      <w:rPr>
        <w:rFonts w:ascii="Arial" w:cs="Arial" w:eastAsia="Arial" w:hAnsi="Arial"/>
        <w:color w:val="5A6A75"/>
        <w:sz w:val="18"/>
        <w:szCs w:val="18"/>
      </w:rPr>
      <w:t xml:space="preserve">Hack-AI-Thon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4D6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88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2026-09-14T18:47:44.863Z</dcterms:created>
  <dcterms:modified xsi:type="dcterms:W3CDTF">2026-09-14T18:47:44.864Z</dcterms:modified>
</cp:coreProperties>
</file>

<file path=docProps/custom.xml><?xml version="1.0" encoding="utf-8"?>
<Properties xmlns="http://schemas.openxmlformats.org/officeDocument/2006/custom-properties" xmlns:vt="http://schemas.openxmlformats.org/officeDocument/2006/docPropsVTypes"/>
</file>