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SPIKE-MARKER restricted stock units (RSUs) vest over four years and are taxed as ordinary income at vesting.</w:t>
      </w:r>
    </w:p>
  </w:body>
</w:document>
</file>