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22A756E9" w:rsidR="00E370AF" w:rsidRDefault="00514526">
            <w:r w:rsidRPr="00514526">
              <w:t>27 – June-2025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77D66849" w:rsidR="00E370AF" w:rsidRDefault="006A57B6">
            <w:r w:rsidRPr="006A57B6">
              <w:t>LTVIP2025TMID30752</w:t>
            </w:r>
          </w:p>
        </w:tc>
      </w:tr>
      <w:tr w:rsidR="00E370AF" w14:paraId="7247E3F4" w14:textId="77777777">
        <w:tc>
          <w:tcPr>
            <w:tcW w:w="4508" w:type="dxa"/>
          </w:tcPr>
          <w:p w14:paraId="01C3C537" w14:textId="77777777" w:rsidR="00E370AF" w:rsidRDefault="00000000">
            <w:r>
              <w:t>Project Name</w:t>
            </w:r>
          </w:p>
        </w:tc>
        <w:tc>
          <w:tcPr>
            <w:tcW w:w="4508" w:type="dxa"/>
          </w:tcPr>
          <w:p w14:paraId="1D10FE2E" w14:textId="77777777" w:rsidR="006A57B6" w:rsidRPr="006A57B6" w:rsidRDefault="006A57B6" w:rsidP="006A57B6">
            <w:r w:rsidRPr="006A57B6">
              <w:t>Sustainable Smart City Assistant Using IBM Granite LLM</w:t>
            </w:r>
          </w:p>
          <w:p w14:paraId="4E717950" w14:textId="3ACE38A4" w:rsidR="00E370AF" w:rsidRDefault="00E370AF"/>
        </w:tc>
      </w:tr>
      <w:tr w:rsidR="00E370AF" w14:paraId="6D6CFC5F" w14:textId="77777777">
        <w:tc>
          <w:tcPr>
            <w:tcW w:w="4508" w:type="dxa"/>
          </w:tcPr>
          <w:p w14:paraId="4B00FC14" w14:textId="77777777" w:rsidR="00E370AF" w:rsidRDefault="00000000">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532AD770" w14:textId="77777777" w:rsidR="002C54A6" w:rsidRPr="002C54A6" w:rsidRDefault="002C54A6" w:rsidP="002C54A6">
      <w:pPr>
        <w:rPr>
          <w:sz w:val="24"/>
          <w:szCs w:val="24"/>
        </w:rPr>
      </w:pPr>
      <w:r w:rsidRPr="002C54A6">
        <w:rPr>
          <w:sz w:val="24"/>
          <w:szCs w:val="24"/>
        </w:rPr>
        <w:t>Solution architecture in the context of the Sustainable Smart City Assistant project defines the integrated framework of tools, technologies, and components that enable the application to deliver smart governance, sustainability forecasting, citizen engagement, and eco-awareness through AI-driven services.</w:t>
      </w:r>
    </w:p>
    <w:p w14:paraId="2D97D581" w14:textId="77777777" w:rsidR="002C54A6" w:rsidRPr="002C54A6" w:rsidRDefault="002C54A6" w:rsidP="002C54A6">
      <w:pPr>
        <w:rPr>
          <w:sz w:val="24"/>
          <w:szCs w:val="24"/>
        </w:rPr>
      </w:pPr>
      <w:r w:rsidRPr="002C54A6">
        <w:rPr>
          <w:sz w:val="24"/>
          <w:szCs w:val="24"/>
        </w:rPr>
        <w:t>It outlines how IBM WatsonX Granite LLM, Pinecone, Streamlit, and machine learning models work together to solve real-world urban challenges such as:</w:t>
      </w:r>
    </w:p>
    <w:p w14:paraId="34E68C55" w14:textId="77777777" w:rsidR="002C54A6" w:rsidRPr="002C54A6" w:rsidRDefault="002C54A6" w:rsidP="002C54A6">
      <w:pPr>
        <w:numPr>
          <w:ilvl w:val="0"/>
          <w:numId w:val="2"/>
        </w:numPr>
        <w:rPr>
          <w:sz w:val="24"/>
          <w:szCs w:val="24"/>
        </w:rPr>
      </w:pPr>
      <w:r w:rsidRPr="002C54A6">
        <w:rPr>
          <w:sz w:val="24"/>
          <w:szCs w:val="24"/>
        </w:rPr>
        <w:t>Interpreting complex policy documents</w:t>
      </w:r>
    </w:p>
    <w:p w14:paraId="0BA263E3" w14:textId="77777777" w:rsidR="002C54A6" w:rsidRPr="002C54A6" w:rsidRDefault="002C54A6" w:rsidP="002C54A6">
      <w:pPr>
        <w:numPr>
          <w:ilvl w:val="0"/>
          <w:numId w:val="2"/>
        </w:numPr>
        <w:rPr>
          <w:sz w:val="24"/>
          <w:szCs w:val="24"/>
        </w:rPr>
      </w:pPr>
      <w:r w:rsidRPr="002C54A6">
        <w:rPr>
          <w:sz w:val="24"/>
          <w:szCs w:val="24"/>
        </w:rPr>
        <w:t>Forecasting key sustainability KPIs</w:t>
      </w:r>
    </w:p>
    <w:p w14:paraId="6FDEA81F" w14:textId="77777777" w:rsidR="002C54A6" w:rsidRPr="002C54A6" w:rsidRDefault="002C54A6" w:rsidP="002C54A6">
      <w:pPr>
        <w:numPr>
          <w:ilvl w:val="0"/>
          <w:numId w:val="2"/>
        </w:numPr>
        <w:rPr>
          <w:sz w:val="24"/>
          <w:szCs w:val="24"/>
        </w:rPr>
      </w:pPr>
      <w:r w:rsidRPr="002C54A6">
        <w:rPr>
          <w:sz w:val="24"/>
          <w:szCs w:val="24"/>
        </w:rPr>
        <w:t>Detecting anomalies in city resource usage</w:t>
      </w:r>
    </w:p>
    <w:p w14:paraId="4BE490FE" w14:textId="77777777" w:rsidR="002C54A6" w:rsidRPr="002C54A6" w:rsidRDefault="002C54A6" w:rsidP="002C54A6">
      <w:pPr>
        <w:numPr>
          <w:ilvl w:val="0"/>
          <w:numId w:val="2"/>
        </w:numPr>
        <w:rPr>
          <w:sz w:val="24"/>
          <w:szCs w:val="24"/>
        </w:rPr>
      </w:pPr>
      <w:r w:rsidRPr="002C54A6">
        <w:rPr>
          <w:sz w:val="24"/>
          <w:szCs w:val="24"/>
        </w:rPr>
        <w:t>Providing intelligent, contextual chat assistance</w:t>
      </w:r>
    </w:p>
    <w:p w14:paraId="1A9B3120" w14:textId="77777777" w:rsidR="002C54A6" w:rsidRPr="002C54A6" w:rsidRDefault="002C54A6" w:rsidP="002C54A6">
      <w:pPr>
        <w:numPr>
          <w:ilvl w:val="0"/>
          <w:numId w:val="2"/>
        </w:numPr>
        <w:rPr>
          <w:sz w:val="24"/>
          <w:szCs w:val="24"/>
        </w:rPr>
      </w:pPr>
      <w:r w:rsidRPr="002C54A6">
        <w:rPr>
          <w:sz w:val="24"/>
          <w:szCs w:val="24"/>
        </w:rPr>
        <w:t>Collecting and analyzing citizen feedback</w:t>
      </w:r>
    </w:p>
    <w:p w14:paraId="4EB84BBA" w14:textId="77777777" w:rsidR="002C54A6" w:rsidRDefault="002C54A6" w:rsidP="002C54A6">
      <w:pPr>
        <w:numPr>
          <w:ilvl w:val="0"/>
          <w:numId w:val="2"/>
        </w:numPr>
        <w:rPr>
          <w:sz w:val="24"/>
          <w:szCs w:val="24"/>
        </w:rPr>
      </w:pPr>
      <w:r w:rsidRPr="002C54A6">
        <w:rPr>
          <w:sz w:val="24"/>
          <w:szCs w:val="24"/>
        </w:rPr>
        <w:t>Promoting environmental behavior change via eco tips</w:t>
      </w:r>
    </w:p>
    <w:p w14:paraId="7121631C" w14:textId="77777777" w:rsidR="002C54A6" w:rsidRPr="002C54A6" w:rsidRDefault="002C54A6" w:rsidP="002C54A6">
      <w:pPr>
        <w:rPr>
          <w:sz w:val="24"/>
          <w:szCs w:val="24"/>
        </w:rPr>
      </w:pPr>
    </w:p>
    <w:p w14:paraId="792FA76A" w14:textId="77777777" w:rsidR="00E370AF" w:rsidRDefault="00E370AF">
      <w:pPr>
        <w:rPr>
          <w:b/>
        </w:rPr>
      </w:pPr>
    </w:p>
    <w:p w14:paraId="3436894A" w14:textId="77777777" w:rsidR="00E370AF" w:rsidRDefault="00000000">
      <w:pPr>
        <w:rPr>
          <w:b/>
        </w:rPr>
      </w:pPr>
      <w:r>
        <w:rPr>
          <w:rFonts w:ascii="Arial" w:eastAsia="Arial" w:hAnsi="Arial" w:cs="Arial"/>
          <w:b/>
          <w:color w:val="000000"/>
          <w:sz w:val="24"/>
          <w:szCs w:val="24"/>
        </w:rPr>
        <w:t>Example - Solution Architecture Diagram</w:t>
      </w:r>
      <w:r>
        <w:rPr>
          <w:b/>
        </w:rPr>
        <w:t xml:space="preserve">: </w:t>
      </w:r>
    </w:p>
    <w:p w14:paraId="2B3DB86C" w14:textId="5E513201" w:rsidR="00E370AF" w:rsidRDefault="00D271D2">
      <w:pPr>
        <w:rPr>
          <w:b/>
        </w:rPr>
      </w:pPr>
      <w:r>
        <w:rPr>
          <w:noProof/>
        </w:rPr>
        <w:lastRenderedPageBreak/>
        <w:drawing>
          <wp:inline distT="0" distB="0" distL="0" distR="0" wp14:anchorId="6D51DEAE" wp14:editId="5B4ED9EF">
            <wp:extent cx="5731510" cy="3820795"/>
            <wp:effectExtent l="0" t="0" r="2540" b="8255"/>
            <wp:docPr id="1161647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9D8C738" w14:textId="2BA7C880" w:rsidR="00E370AF" w:rsidRDefault="00E370AF">
      <w:pPr>
        <w:tabs>
          <w:tab w:val="left" w:pos="5529"/>
        </w:tabs>
        <w:rPr>
          <w:b/>
        </w:rPr>
      </w:pPr>
    </w:p>
    <w:p w14:paraId="0C5FB432" w14:textId="2A0F1A0A" w:rsidR="00E370AF" w:rsidRDefault="00000000">
      <w:pPr>
        <w:rPr>
          <w:b/>
        </w:rPr>
      </w:pPr>
      <w:r>
        <w:rPr>
          <w:rFonts w:ascii="Helvetica Neue" w:eastAsia="Helvetica Neue" w:hAnsi="Helvetica Neue" w:cs="Helvetica Neue"/>
          <w:i/>
          <w:color w:val="333333"/>
          <w:sz w:val="21"/>
          <w:szCs w:val="21"/>
        </w:rPr>
        <w:t xml:space="preserve">Figure 1: Architecture and data flow of the </w:t>
      </w:r>
      <w:r w:rsidR="002C54A6">
        <w:rPr>
          <w:rFonts w:ascii="Helvetica Neue" w:eastAsia="Helvetica Neue" w:hAnsi="Helvetica Neue" w:cs="Helvetica Neue"/>
          <w:i/>
          <w:color w:val="333333"/>
          <w:sz w:val="21"/>
          <w:szCs w:val="21"/>
        </w:rPr>
        <w:t>smart city assistance.</w:t>
      </w:r>
    </w:p>
    <w:p w14:paraId="4E909796" w14:textId="77777777" w:rsidR="00E370AF" w:rsidRDefault="00000000">
      <w:pPr>
        <w:rPr>
          <w:b/>
        </w:rPr>
      </w:pPr>
      <w:r>
        <w:rPr>
          <w:b/>
        </w:rPr>
        <w:t xml:space="preserve">Reference: </w:t>
      </w:r>
      <w:hyperlink r:id="rId7">
        <w:r w:rsidR="00E370AF">
          <w:rPr>
            <w:b/>
            <w:color w:val="0563C1"/>
            <w:u w:val="single"/>
          </w:rPr>
          <w:t>https://aws.amazon.com/blogs/industries/voice-applications-in-clinical-research-powered-by-ai-on-aws-part-1-architecture-and-design-considerations/</w:t>
        </w:r>
      </w:hyperlink>
    </w:p>
    <w:p w14:paraId="1C1442E4" w14:textId="77777777" w:rsidR="00E370AF" w:rsidRDefault="00E370AF">
      <w:pPr>
        <w:rPr>
          <w:b/>
        </w:rPr>
      </w:pPr>
    </w:p>
    <w:p w14:paraId="5056DFCC" w14:textId="77777777"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406E935-9C71-416D-BE48-4CF6444AFFE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D2828FA-EAB9-4F70-A54F-9EDD4896838E}"/>
    <w:embedBold r:id="rId3" w:fontKey="{7404D7BE-A7BB-4AB0-A86D-DC881F2266C1}"/>
  </w:font>
  <w:font w:name="Georgia">
    <w:panose1 w:val="02040502050405020303"/>
    <w:charset w:val="00"/>
    <w:family w:val="roman"/>
    <w:pitch w:val="variable"/>
    <w:sig w:usb0="00000287" w:usb1="00000000" w:usb2="00000000" w:usb3="00000000" w:csb0="0000009F" w:csb1="00000000"/>
    <w:embedRegular r:id="rId4" w:fontKey="{05F41153-6C36-4B49-8BC8-7664FA5C06C5}"/>
    <w:embedItalic r:id="rId5" w:fontKey="{2449E7AE-1C16-4A30-B978-D21FAC81DA9F}"/>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6" w:fontKey="{782BA382-E7E6-4FC8-A843-EC43F03989BC}"/>
    <w:embedItalic r:id="rId7" w:fontKey="{1D83B719-2C5F-49E5-9E71-88F21387A58A}"/>
  </w:font>
  <w:font w:name="Calibri Light">
    <w:panose1 w:val="020F0302020204030204"/>
    <w:charset w:val="00"/>
    <w:family w:val="swiss"/>
    <w:pitch w:val="variable"/>
    <w:sig w:usb0="E4002EFF" w:usb1="C200247B" w:usb2="00000009" w:usb3="00000000" w:csb0="000001FF" w:csb1="00000000"/>
    <w:embedRegular r:id="rId8" w:fontKey="{0E8AE732-8292-431D-B3A5-A42B41BB41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F840502"/>
    <w:multiLevelType w:val="multilevel"/>
    <w:tmpl w:val="ADAE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0"/>
  </w:num>
  <w:num w:numId="2" w16cid:durableId="197157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1C691E"/>
    <w:rsid w:val="00267921"/>
    <w:rsid w:val="002C54A6"/>
    <w:rsid w:val="00514526"/>
    <w:rsid w:val="006A57B6"/>
    <w:rsid w:val="0074461B"/>
    <w:rsid w:val="00862077"/>
    <w:rsid w:val="00D271D2"/>
    <w:rsid w:val="00E370AF"/>
    <w:rsid w:val="00FE2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21325">
      <w:bodyDiv w:val="1"/>
      <w:marLeft w:val="0"/>
      <w:marRight w:val="0"/>
      <w:marTop w:val="0"/>
      <w:marBottom w:val="0"/>
      <w:divBdr>
        <w:top w:val="none" w:sz="0" w:space="0" w:color="auto"/>
        <w:left w:val="none" w:sz="0" w:space="0" w:color="auto"/>
        <w:bottom w:val="none" w:sz="0" w:space="0" w:color="auto"/>
        <w:right w:val="none" w:sz="0" w:space="0" w:color="auto"/>
      </w:divBdr>
    </w:div>
    <w:div w:id="479199988">
      <w:bodyDiv w:val="1"/>
      <w:marLeft w:val="0"/>
      <w:marRight w:val="0"/>
      <w:marTop w:val="0"/>
      <w:marBottom w:val="0"/>
      <w:divBdr>
        <w:top w:val="none" w:sz="0" w:space="0" w:color="auto"/>
        <w:left w:val="none" w:sz="0" w:space="0" w:color="auto"/>
        <w:bottom w:val="none" w:sz="0" w:space="0" w:color="auto"/>
        <w:right w:val="none" w:sz="0" w:space="0" w:color="auto"/>
      </w:divBdr>
    </w:div>
    <w:div w:id="1642922856">
      <w:bodyDiv w:val="1"/>
      <w:marLeft w:val="0"/>
      <w:marRight w:val="0"/>
      <w:marTop w:val="0"/>
      <w:marBottom w:val="0"/>
      <w:divBdr>
        <w:top w:val="none" w:sz="0" w:space="0" w:color="auto"/>
        <w:left w:val="none" w:sz="0" w:space="0" w:color="auto"/>
        <w:bottom w:val="none" w:sz="0" w:space="0" w:color="auto"/>
        <w:right w:val="none" w:sz="0" w:space="0" w:color="auto"/>
      </w:divBdr>
    </w:div>
    <w:div w:id="1768041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ws.amazon.com/blogs/industries/voice-applications-in-clinical-research-powered-by-ai-on-aws-part-1-architecture-and-design-considera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Drakness Riser</cp:lastModifiedBy>
  <cp:revision>5</cp:revision>
  <dcterms:created xsi:type="dcterms:W3CDTF">2022-10-03T08:27:00Z</dcterms:created>
  <dcterms:modified xsi:type="dcterms:W3CDTF">2025-06-27T09:39:00Z</dcterms:modified>
</cp:coreProperties>
</file>