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A769A" w14:textId="3E7E1D21" w:rsidR="00903D85" w:rsidRPr="002A4BFE" w:rsidRDefault="00C04D08" w:rsidP="002A4BFE">
      <w:pPr>
        <w:pStyle w:val="Subtitle"/>
        <w:spacing w:line="276" w:lineRule="auto"/>
        <w:rPr>
          <w:rFonts w:ascii="Source Sans Pro" w:hAnsi="Source Sans Pro"/>
        </w:rPr>
      </w:pPr>
      <w:r w:rsidRPr="002A4BFE">
        <w:rPr>
          <w:rFonts w:ascii="Source Sans Pro" w:hAnsi="Source Sans Pro"/>
        </w:rPr>
        <w:t>Investment Report</w:t>
      </w:r>
    </w:p>
    <w:p w14:paraId="1494C4D2" w14:textId="6FFDD688" w:rsidR="00903D85" w:rsidRPr="002A4BFE" w:rsidRDefault="00611E4A" w:rsidP="002A4BFE">
      <w:pPr>
        <w:pStyle w:val="Title"/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>Logan Reserve</w:t>
      </w:r>
    </w:p>
    <w:p w14:paraId="2A4F672F" w14:textId="10E5D530" w:rsidR="00903D85" w:rsidRPr="002A4BFE" w:rsidRDefault="00C04D08" w:rsidP="002A4BFE">
      <w:pPr>
        <w:pStyle w:val="Author"/>
        <w:spacing w:line="276" w:lineRule="auto"/>
        <w:rPr>
          <w:rFonts w:ascii="Source Sans Pro" w:hAnsi="Source Sans Pro"/>
        </w:rPr>
      </w:pPr>
      <w:proofErr w:type="spellStart"/>
      <w:r w:rsidRPr="002A4BFE">
        <w:rPr>
          <w:rFonts w:ascii="Source Sans Pro" w:hAnsi="Source Sans Pro"/>
        </w:rPr>
        <w:t>Élever</w:t>
      </w:r>
      <w:proofErr w:type="spellEnd"/>
      <w:r w:rsidRPr="002A4BFE">
        <w:rPr>
          <w:rFonts w:ascii="Source Sans Pro" w:hAnsi="Source Sans Pro"/>
        </w:rPr>
        <w:t xml:space="preserve"> Property Group</w:t>
      </w:r>
    </w:p>
    <w:p w14:paraId="31AB3827" w14:textId="4CFACA98" w:rsidR="002A4BFE" w:rsidRPr="002A4BFE" w:rsidRDefault="00611E4A" w:rsidP="002A4BFE">
      <w:pPr>
        <w:spacing w:after="0" w:line="276" w:lineRule="auto"/>
        <w:jc w:val="center"/>
        <w:rPr>
          <w:rFonts w:ascii="Source Sans Pro" w:hAnsi="Source Sans Pro"/>
        </w:rPr>
      </w:pPr>
      <w:r w:rsidRPr="00611E4A">
        <w:rPr>
          <w:rFonts w:ascii="Source Sans Pro" w:hAnsi="Source Sans Pro"/>
        </w:rPr>
        <w:t>Investing in Logan Reserve, Queensland, presents a compelling opportunity for property investors, given its notable capital growth, ongoing infrastructure developments, favorable demographics, efficient transport links, proximity to major shopping centers, and access to quality education.</w:t>
      </w:r>
    </w:p>
    <w:p w14:paraId="145164F1" w14:textId="41461A40" w:rsidR="00903D85" w:rsidRPr="002A4BFE" w:rsidRDefault="00C04D08" w:rsidP="002A4BFE">
      <w:pPr>
        <w:pStyle w:val="Heading1"/>
        <w:spacing w:line="276" w:lineRule="auto"/>
        <w:rPr>
          <w:rFonts w:ascii="Source Sans Pro" w:hAnsi="Source Sans Pro"/>
          <w:sz w:val="44"/>
        </w:rPr>
      </w:pPr>
      <w:r w:rsidRPr="002A4BFE">
        <w:rPr>
          <w:rFonts w:ascii="Source Sans Pro" w:hAnsi="Source Sans Pro"/>
          <w:sz w:val="44"/>
        </w:rPr>
        <w:t>Capital Growth Over the Past Five Years</w:t>
      </w:r>
    </w:p>
    <w:p w14:paraId="2DD762FE" w14:textId="594ABFD6" w:rsidR="002A4BFE" w:rsidRDefault="00611E4A" w:rsidP="002A4BFE">
      <w:pPr>
        <w:spacing w:after="0" w:line="276" w:lineRule="auto"/>
        <w:rPr>
          <w:rFonts w:ascii="Source Sans Pro" w:hAnsi="Source Sans Pro"/>
        </w:rPr>
      </w:pPr>
      <w:r w:rsidRPr="00611E4A">
        <w:rPr>
          <w:rFonts w:ascii="Source Sans Pro" w:hAnsi="Source Sans Pro"/>
        </w:rPr>
        <w:t>Logan Reserve has experienced significant capital growth in recent years. As of the latest data, the median property price for houses is approximately $730,000, with an annual capital growth rate of 12.31%. Over the past year, there have been 302 house sales, with properties typically spending an average of 20 days on the market. </w:t>
      </w:r>
    </w:p>
    <w:p w14:paraId="7954EED4" w14:textId="77777777" w:rsidR="00611E4A" w:rsidRPr="002A4BFE" w:rsidRDefault="00611E4A" w:rsidP="002A4BFE">
      <w:pPr>
        <w:spacing w:after="0" w:line="276" w:lineRule="auto"/>
        <w:rPr>
          <w:rFonts w:ascii="Source Sans Pro" w:hAnsi="Source Sans Pro"/>
        </w:rPr>
      </w:pPr>
    </w:p>
    <w:p w14:paraId="5AE07E9B" w14:textId="77777777" w:rsidR="00C04D08" w:rsidRPr="002A4BFE" w:rsidRDefault="00C04D08" w:rsidP="002A4BFE">
      <w:pPr>
        <w:spacing w:line="276" w:lineRule="auto"/>
        <w:rPr>
          <w:rFonts w:ascii="Source Sans Pro" w:eastAsiaTheme="majorEastAsia" w:hAnsi="Source Sans Pro" w:cstheme="majorBidi"/>
          <w:sz w:val="44"/>
          <w:szCs w:val="32"/>
        </w:rPr>
      </w:pPr>
      <w:r w:rsidRPr="002A4BFE">
        <w:rPr>
          <w:rFonts w:ascii="Source Sans Pro" w:eastAsiaTheme="majorEastAsia" w:hAnsi="Source Sans Pro" w:cstheme="majorBidi"/>
          <w:sz w:val="44"/>
          <w:szCs w:val="32"/>
        </w:rPr>
        <w:t>Infrastructure Developments: Recent and Future</w:t>
      </w:r>
    </w:p>
    <w:p w14:paraId="78872D6A" w14:textId="66A30546" w:rsidR="00C04D08" w:rsidRPr="002A4BFE" w:rsidRDefault="00C04D08" w:rsidP="002A4BFE">
      <w:pPr>
        <w:spacing w:line="276" w:lineRule="auto"/>
        <w:rPr>
          <w:rFonts w:ascii="Source Sans Pro" w:hAnsi="Source Sans Pro"/>
          <w:lang w:val="en-AU"/>
        </w:rPr>
      </w:pPr>
      <w:r w:rsidRPr="002A4BFE">
        <w:rPr>
          <w:rFonts w:ascii="Source Sans Pro" w:hAnsi="Source Sans Pro"/>
          <w:lang w:val="en-AU"/>
        </w:rPr>
        <w:t>The region is benefiting from substantial infrastructure investments:</w:t>
      </w:r>
    </w:p>
    <w:p w14:paraId="3DFF541C" w14:textId="73F46D1A" w:rsidR="00611E4A" w:rsidRPr="00611E4A" w:rsidRDefault="00611E4A" w:rsidP="00611E4A">
      <w:pPr>
        <w:pStyle w:val="ListBullet"/>
        <w:spacing w:line="276" w:lineRule="auto"/>
        <w:rPr>
          <w:rFonts w:ascii="Source Sans Pro" w:hAnsi="Source Sans Pro"/>
          <w:lang w:val="en-AU"/>
        </w:rPr>
      </w:pPr>
      <w:r w:rsidRPr="00611E4A">
        <w:rPr>
          <w:rFonts w:ascii="Source Sans Pro" w:hAnsi="Source Sans Pro"/>
          <w:lang w:val="en-AU"/>
        </w:rPr>
        <w:t>Transport Infrastructure: Recent roadworks, such as the $4 million project at Carbrook, aim to improve connectivity in the Logan area. </w:t>
      </w:r>
    </w:p>
    <w:p w14:paraId="074A8CA5" w14:textId="4430BD7C" w:rsidR="00611E4A" w:rsidRPr="00611E4A" w:rsidRDefault="00611E4A" w:rsidP="00611E4A">
      <w:pPr>
        <w:pStyle w:val="ListBullet"/>
        <w:spacing w:line="276" w:lineRule="auto"/>
        <w:rPr>
          <w:rFonts w:ascii="Source Sans Pro" w:hAnsi="Source Sans Pro"/>
          <w:lang w:val="en-AU"/>
        </w:rPr>
      </w:pPr>
      <w:r w:rsidRPr="00611E4A">
        <w:rPr>
          <w:rFonts w:ascii="Source Sans Pro" w:hAnsi="Source Sans Pro"/>
          <w:lang w:val="en-AU"/>
        </w:rPr>
        <w:t xml:space="preserve">City Futures Strategy: The City of Logan is poised to become an economic and innovation powerhouse in </w:t>
      </w:r>
      <w:proofErr w:type="gramStart"/>
      <w:r w:rsidRPr="00611E4A">
        <w:rPr>
          <w:rFonts w:ascii="Source Sans Pro" w:hAnsi="Source Sans Pro"/>
          <w:lang w:val="en-AU"/>
        </w:rPr>
        <w:t>South East</w:t>
      </w:r>
      <w:proofErr w:type="gramEnd"/>
      <w:r w:rsidRPr="00611E4A">
        <w:rPr>
          <w:rFonts w:ascii="Source Sans Pro" w:hAnsi="Source Sans Pro"/>
          <w:lang w:val="en-AU"/>
        </w:rPr>
        <w:t xml:space="preserve"> Queensland, with influence extending nationally and internationally. </w:t>
      </w:r>
    </w:p>
    <w:p w14:paraId="24231EB3" w14:textId="725D73A8" w:rsidR="00C04D08" w:rsidRPr="002A4BFE" w:rsidRDefault="00C04D08" w:rsidP="002A4BFE">
      <w:pPr>
        <w:spacing w:line="276" w:lineRule="auto"/>
        <w:rPr>
          <w:rFonts w:ascii="Source Sans Pro" w:eastAsiaTheme="majorEastAsia" w:hAnsi="Source Sans Pro" w:cstheme="majorBidi"/>
          <w:sz w:val="44"/>
          <w:szCs w:val="32"/>
        </w:rPr>
      </w:pPr>
      <w:r w:rsidRPr="002A4BFE">
        <w:rPr>
          <w:rFonts w:ascii="Source Sans Pro" w:eastAsiaTheme="majorEastAsia" w:hAnsi="Source Sans Pro" w:cstheme="majorBidi"/>
          <w:sz w:val="44"/>
          <w:szCs w:val="32"/>
        </w:rPr>
        <w:t>Demographics</w:t>
      </w:r>
    </w:p>
    <w:p w14:paraId="3152F697" w14:textId="0B870E7C" w:rsidR="00C04D08" w:rsidRPr="002A4BFE" w:rsidRDefault="00611E4A" w:rsidP="002A4BFE">
      <w:pPr>
        <w:spacing w:after="0" w:line="276" w:lineRule="auto"/>
        <w:rPr>
          <w:rFonts w:ascii="Source Sans Pro" w:hAnsi="Source Sans Pro"/>
        </w:rPr>
      </w:pPr>
      <w:r w:rsidRPr="00611E4A">
        <w:rPr>
          <w:rFonts w:ascii="Source Sans Pro" w:hAnsi="Source Sans Pro"/>
        </w:rPr>
        <w:t>Logan Reserve has a diverse and growing population. Households are primarily couples with children, and a significant portion of residents work in trades occupations. In 2011, 68.3% of homes were owner-occupied, compared to 60% in 2016, indicating a dynamic housing market. </w:t>
      </w:r>
    </w:p>
    <w:p w14:paraId="0B7BF732" w14:textId="77777777" w:rsidR="00C04D08" w:rsidRPr="002A4BFE" w:rsidRDefault="00C04D08" w:rsidP="002A4BFE">
      <w:pPr>
        <w:spacing w:line="276" w:lineRule="auto"/>
        <w:rPr>
          <w:rFonts w:ascii="Source Sans Pro" w:eastAsiaTheme="majorEastAsia" w:hAnsi="Source Sans Pro" w:cstheme="majorBidi"/>
          <w:sz w:val="44"/>
          <w:szCs w:val="32"/>
        </w:rPr>
      </w:pPr>
      <w:r w:rsidRPr="002A4BFE">
        <w:rPr>
          <w:rFonts w:ascii="Source Sans Pro" w:eastAsiaTheme="majorEastAsia" w:hAnsi="Source Sans Pro" w:cstheme="majorBidi"/>
          <w:sz w:val="44"/>
          <w:szCs w:val="32"/>
        </w:rPr>
        <w:lastRenderedPageBreak/>
        <w:t>Transport</w:t>
      </w:r>
    </w:p>
    <w:p w14:paraId="6C993FC2" w14:textId="203F1100" w:rsidR="00C04D08" w:rsidRPr="00C04D08" w:rsidRDefault="00611E4A" w:rsidP="002A4BFE">
      <w:pPr>
        <w:spacing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>Logan Reserve</w:t>
      </w:r>
      <w:r w:rsidR="00C04D08" w:rsidRPr="00C04D08">
        <w:rPr>
          <w:rFonts w:ascii="Source Sans Pro" w:hAnsi="Source Sans Pro"/>
        </w:rPr>
        <w:t xml:space="preserve"> boasts excellent transport links:</w:t>
      </w:r>
    </w:p>
    <w:p w14:paraId="5B87B32A" w14:textId="5DED1AE9" w:rsidR="00611E4A" w:rsidRPr="00611E4A" w:rsidRDefault="00611E4A" w:rsidP="00611E4A">
      <w:pPr>
        <w:pStyle w:val="ListBullet"/>
        <w:spacing w:line="276" w:lineRule="auto"/>
        <w:rPr>
          <w:rFonts w:ascii="Source Sans Pro" w:hAnsi="Source Sans Pro"/>
          <w:lang w:val="en-AU"/>
        </w:rPr>
      </w:pPr>
      <w:r w:rsidRPr="00611E4A">
        <w:rPr>
          <w:rFonts w:ascii="Source Sans Pro" w:hAnsi="Source Sans Pro"/>
          <w:lang w:val="en-AU"/>
        </w:rPr>
        <w:t>Road Access: The suburb’s strategic location provides easy access to major highways, facilitating convenient travel to Brisbane and the Gold Coast.</w:t>
      </w:r>
    </w:p>
    <w:p w14:paraId="7FF12E57" w14:textId="4784DB56" w:rsidR="00611E4A" w:rsidRPr="00611E4A" w:rsidRDefault="00611E4A" w:rsidP="00611E4A">
      <w:pPr>
        <w:pStyle w:val="ListBullet"/>
        <w:spacing w:line="276" w:lineRule="auto"/>
        <w:rPr>
          <w:rFonts w:ascii="Source Sans Pro" w:hAnsi="Source Sans Pro"/>
          <w:lang w:val="en-AU"/>
        </w:rPr>
      </w:pPr>
      <w:r w:rsidRPr="00611E4A">
        <w:rPr>
          <w:rFonts w:ascii="Source Sans Pro" w:hAnsi="Source Sans Pro"/>
          <w:lang w:val="en-AU"/>
        </w:rPr>
        <w:t xml:space="preserve">Public Transport: The area is serviced by reliable public transport options, including bus services that connect residents to surrounding suburbs and key urban </w:t>
      </w:r>
      <w:proofErr w:type="spellStart"/>
      <w:r w:rsidRPr="00611E4A">
        <w:rPr>
          <w:rFonts w:ascii="Source Sans Pro" w:hAnsi="Source Sans Pro"/>
          <w:lang w:val="en-AU"/>
        </w:rPr>
        <w:t>centers</w:t>
      </w:r>
      <w:proofErr w:type="spellEnd"/>
      <w:r w:rsidRPr="00611E4A">
        <w:rPr>
          <w:rFonts w:ascii="Source Sans Pro" w:hAnsi="Source Sans Pro"/>
          <w:lang w:val="en-AU"/>
        </w:rPr>
        <w:t>.</w:t>
      </w:r>
    </w:p>
    <w:p w14:paraId="63182AE6" w14:textId="77777777" w:rsidR="00C04D08" w:rsidRPr="00C04D08" w:rsidRDefault="00C04D08" w:rsidP="002A4BFE">
      <w:pPr>
        <w:spacing w:after="0" w:line="276" w:lineRule="auto"/>
        <w:rPr>
          <w:rFonts w:ascii="Source Sans Pro" w:eastAsia="Times New Roman" w:hAnsi="Source Sans Pro" w:cs="Times New Roman"/>
          <w:color w:val="212121"/>
          <w:sz w:val="18"/>
          <w:szCs w:val="18"/>
          <w:lang w:val="en-AU" w:eastAsia="en-GB"/>
        </w:rPr>
      </w:pPr>
    </w:p>
    <w:p w14:paraId="7EDCBDE0" w14:textId="73596AFB" w:rsidR="00C04D08" w:rsidRPr="00C04D08" w:rsidRDefault="00C04D08" w:rsidP="002A4BFE">
      <w:pPr>
        <w:spacing w:line="276" w:lineRule="auto"/>
        <w:rPr>
          <w:rFonts w:ascii="Source Sans Pro" w:eastAsiaTheme="majorEastAsia" w:hAnsi="Source Sans Pro" w:cstheme="majorBidi"/>
          <w:sz w:val="44"/>
          <w:szCs w:val="32"/>
        </w:rPr>
      </w:pPr>
      <w:r w:rsidRPr="00C04D08">
        <w:rPr>
          <w:rFonts w:ascii="Source Sans Pro" w:eastAsiaTheme="majorEastAsia" w:hAnsi="Source Sans Pro" w:cstheme="majorBidi"/>
          <w:sz w:val="44"/>
          <w:szCs w:val="32"/>
        </w:rPr>
        <w:t xml:space="preserve">Major Shopping </w:t>
      </w:r>
      <w:proofErr w:type="spellStart"/>
      <w:r w:rsidRPr="00C04D08">
        <w:rPr>
          <w:rFonts w:ascii="Source Sans Pro" w:eastAsiaTheme="majorEastAsia" w:hAnsi="Source Sans Pro" w:cstheme="majorBidi"/>
          <w:sz w:val="44"/>
          <w:szCs w:val="32"/>
        </w:rPr>
        <w:t>Centres</w:t>
      </w:r>
      <w:proofErr w:type="spellEnd"/>
    </w:p>
    <w:p w14:paraId="756D273E" w14:textId="77777777" w:rsidR="00C04D08" w:rsidRPr="00C04D08" w:rsidRDefault="00C04D08" w:rsidP="002A4BFE">
      <w:pPr>
        <w:spacing w:line="276" w:lineRule="auto"/>
        <w:rPr>
          <w:rFonts w:ascii="Source Sans Pro" w:hAnsi="Source Sans Pro"/>
        </w:rPr>
      </w:pPr>
      <w:r w:rsidRPr="00C04D08">
        <w:rPr>
          <w:rFonts w:ascii="Source Sans Pro" w:hAnsi="Source Sans Pro"/>
        </w:rPr>
        <w:t>Residents have access to several shopping centers:</w:t>
      </w:r>
    </w:p>
    <w:p w14:paraId="6006B3ED" w14:textId="51C7DE38" w:rsidR="00611E4A" w:rsidRPr="00611E4A" w:rsidRDefault="00611E4A" w:rsidP="00611E4A">
      <w:pPr>
        <w:pStyle w:val="ListBullet"/>
        <w:spacing w:line="276" w:lineRule="auto"/>
        <w:rPr>
          <w:rFonts w:ascii="Source Sans Pro" w:hAnsi="Source Sans Pro"/>
          <w:lang w:val="en-AU"/>
        </w:rPr>
      </w:pPr>
      <w:r w:rsidRPr="00611E4A">
        <w:rPr>
          <w:rFonts w:ascii="Source Sans Pro" w:hAnsi="Source Sans Pro"/>
          <w:lang w:val="en-AU"/>
        </w:rPr>
        <w:t>Logan Hyperdome: A major retail hub offering a wide range of retail outlets, dining options, and entertainment facilities.</w:t>
      </w:r>
    </w:p>
    <w:p w14:paraId="7C31709F" w14:textId="7FE11019" w:rsidR="00611E4A" w:rsidRPr="00611E4A" w:rsidRDefault="00611E4A" w:rsidP="00611E4A">
      <w:pPr>
        <w:pStyle w:val="ListBullet"/>
        <w:spacing w:line="276" w:lineRule="auto"/>
        <w:rPr>
          <w:rFonts w:ascii="Source Sans Pro" w:hAnsi="Source Sans Pro"/>
          <w:lang w:val="en-AU"/>
        </w:rPr>
      </w:pPr>
      <w:r w:rsidRPr="00611E4A">
        <w:rPr>
          <w:rFonts w:ascii="Source Sans Pro" w:hAnsi="Source Sans Pro"/>
          <w:lang w:val="en-AU"/>
        </w:rPr>
        <w:t>Grand Plaza Shopping Centre: Provides additional retail and service options, catering to daily needs.</w:t>
      </w:r>
    </w:p>
    <w:p w14:paraId="4DBDC9AA" w14:textId="77777777" w:rsidR="00C04D08" w:rsidRPr="00C04D08" w:rsidRDefault="00C04D08" w:rsidP="002A4BFE">
      <w:pPr>
        <w:spacing w:after="0" w:line="276" w:lineRule="auto"/>
        <w:rPr>
          <w:rFonts w:ascii="Source Sans Pro" w:eastAsia="Times New Roman" w:hAnsi="Source Sans Pro" w:cs="Times New Roman"/>
          <w:color w:val="212121"/>
          <w:sz w:val="18"/>
          <w:szCs w:val="18"/>
          <w:lang w:val="en-AU" w:eastAsia="en-GB"/>
        </w:rPr>
      </w:pPr>
    </w:p>
    <w:p w14:paraId="303C039F" w14:textId="34CB50D0" w:rsidR="00C04D08" w:rsidRPr="00C04D08" w:rsidRDefault="00C04D08" w:rsidP="002A4BFE">
      <w:pPr>
        <w:spacing w:line="276" w:lineRule="auto"/>
        <w:rPr>
          <w:rFonts w:ascii="Source Sans Pro" w:eastAsiaTheme="majorEastAsia" w:hAnsi="Source Sans Pro" w:cstheme="majorBidi"/>
          <w:sz w:val="44"/>
          <w:szCs w:val="32"/>
        </w:rPr>
      </w:pPr>
      <w:r w:rsidRPr="00C04D08">
        <w:rPr>
          <w:rFonts w:ascii="Source Sans Pro" w:eastAsiaTheme="majorEastAsia" w:hAnsi="Source Sans Pro" w:cstheme="majorBidi"/>
          <w:sz w:val="44"/>
          <w:szCs w:val="32"/>
        </w:rPr>
        <w:t>Education</w:t>
      </w:r>
    </w:p>
    <w:p w14:paraId="0963C355" w14:textId="77777777" w:rsidR="00C04D08" w:rsidRPr="00C04D08" w:rsidRDefault="00C04D08" w:rsidP="002A4BFE">
      <w:pPr>
        <w:spacing w:line="276" w:lineRule="auto"/>
        <w:rPr>
          <w:rFonts w:ascii="Source Sans Pro" w:hAnsi="Source Sans Pro"/>
        </w:rPr>
      </w:pPr>
      <w:r w:rsidRPr="00C04D08">
        <w:rPr>
          <w:rFonts w:ascii="Source Sans Pro" w:hAnsi="Source Sans Pro"/>
        </w:rPr>
        <w:t>The area is well-served by educational institutions:</w:t>
      </w:r>
    </w:p>
    <w:p w14:paraId="1A894568" w14:textId="704BB22F" w:rsidR="00611E4A" w:rsidRPr="00611E4A" w:rsidRDefault="00611E4A" w:rsidP="00611E4A">
      <w:pPr>
        <w:pStyle w:val="ListBullet"/>
        <w:spacing w:line="276" w:lineRule="auto"/>
        <w:rPr>
          <w:rFonts w:ascii="Source Sans Pro" w:hAnsi="Source Sans Pro"/>
          <w:lang w:val="en-AU"/>
        </w:rPr>
      </w:pPr>
      <w:r w:rsidRPr="00611E4A">
        <w:rPr>
          <w:rFonts w:ascii="Source Sans Pro" w:hAnsi="Source Sans Pro"/>
          <w:lang w:val="en-AU"/>
        </w:rPr>
        <w:t>Primary and Secondary Schools: Both public and private options are available, ensuring quality education for residents.</w:t>
      </w:r>
    </w:p>
    <w:p w14:paraId="1F3855FD" w14:textId="461F5EDF" w:rsidR="00611E4A" w:rsidRPr="00611E4A" w:rsidRDefault="00611E4A" w:rsidP="00611E4A">
      <w:pPr>
        <w:pStyle w:val="ListBullet"/>
        <w:spacing w:line="276" w:lineRule="auto"/>
        <w:rPr>
          <w:rFonts w:ascii="Source Sans Pro" w:hAnsi="Source Sans Pro"/>
          <w:lang w:val="en-AU"/>
        </w:rPr>
      </w:pPr>
      <w:r w:rsidRPr="00611E4A">
        <w:rPr>
          <w:rFonts w:ascii="Source Sans Pro" w:hAnsi="Source Sans Pro"/>
          <w:lang w:val="en-AU"/>
        </w:rPr>
        <w:t>Tertiary Education: Proximity to TAFE Queensland’s Loganlea campus offers diverse educational opportunities.</w:t>
      </w:r>
    </w:p>
    <w:p w14:paraId="01950F2A" w14:textId="77777777" w:rsidR="00C04D08" w:rsidRDefault="00C04D08" w:rsidP="002A4BFE">
      <w:pPr>
        <w:spacing w:after="180" w:line="276" w:lineRule="auto"/>
        <w:rPr>
          <w:rFonts w:ascii="Source Sans Pro" w:eastAsia="Times New Roman" w:hAnsi="Source Sans Pro" w:cs="Times New Roman"/>
          <w:color w:val="212121"/>
          <w:sz w:val="18"/>
          <w:szCs w:val="18"/>
          <w:lang w:val="en-AU" w:eastAsia="en-GB"/>
        </w:rPr>
      </w:pPr>
    </w:p>
    <w:p w14:paraId="61ADFE50" w14:textId="77777777" w:rsidR="00611E4A" w:rsidRDefault="00611E4A" w:rsidP="002A4BFE">
      <w:pPr>
        <w:spacing w:after="180" w:line="276" w:lineRule="auto"/>
        <w:rPr>
          <w:rFonts w:ascii="Source Sans Pro" w:eastAsia="Times New Roman" w:hAnsi="Source Sans Pro" w:cs="Times New Roman"/>
          <w:color w:val="212121"/>
          <w:sz w:val="18"/>
          <w:szCs w:val="18"/>
          <w:lang w:val="en-AU" w:eastAsia="en-GB"/>
        </w:rPr>
      </w:pPr>
    </w:p>
    <w:p w14:paraId="4F546AF6" w14:textId="77777777" w:rsidR="00611E4A" w:rsidRDefault="00611E4A" w:rsidP="002A4BFE">
      <w:pPr>
        <w:spacing w:after="180" w:line="276" w:lineRule="auto"/>
        <w:rPr>
          <w:rFonts w:ascii="Source Sans Pro" w:eastAsia="Times New Roman" w:hAnsi="Source Sans Pro" w:cs="Times New Roman"/>
          <w:color w:val="212121"/>
          <w:sz w:val="18"/>
          <w:szCs w:val="18"/>
          <w:lang w:val="en-AU" w:eastAsia="en-GB"/>
        </w:rPr>
      </w:pPr>
    </w:p>
    <w:p w14:paraId="1247105B" w14:textId="77777777" w:rsidR="00611E4A" w:rsidRDefault="00611E4A" w:rsidP="002A4BFE">
      <w:pPr>
        <w:spacing w:after="180" w:line="276" w:lineRule="auto"/>
        <w:rPr>
          <w:rFonts w:ascii="Source Sans Pro" w:eastAsia="Times New Roman" w:hAnsi="Source Sans Pro" w:cs="Times New Roman"/>
          <w:color w:val="212121"/>
          <w:sz w:val="18"/>
          <w:szCs w:val="18"/>
          <w:lang w:val="en-AU" w:eastAsia="en-GB"/>
        </w:rPr>
      </w:pPr>
    </w:p>
    <w:p w14:paraId="1DBE9FAF" w14:textId="77777777" w:rsidR="00611E4A" w:rsidRPr="00C04D08" w:rsidRDefault="00611E4A" w:rsidP="002A4BFE">
      <w:pPr>
        <w:spacing w:after="180" w:line="276" w:lineRule="auto"/>
        <w:rPr>
          <w:rFonts w:ascii="Source Sans Pro" w:eastAsia="Times New Roman" w:hAnsi="Source Sans Pro" w:cs="Times New Roman"/>
          <w:color w:val="212121"/>
          <w:sz w:val="18"/>
          <w:szCs w:val="18"/>
          <w:lang w:val="en-AU" w:eastAsia="en-GB"/>
        </w:rPr>
      </w:pPr>
    </w:p>
    <w:p w14:paraId="4E737927" w14:textId="3A97AFC2" w:rsidR="00C04D08" w:rsidRPr="00C04D08" w:rsidRDefault="00C04D08" w:rsidP="002A4BFE">
      <w:pPr>
        <w:spacing w:line="276" w:lineRule="auto"/>
        <w:rPr>
          <w:rFonts w:ascii="Source Sans Pro" w:eastAsiaTheme="majorEastAsia" w:hAnsi="Source Sans Pro" w:cstheme="majorBidi"/>
          <w:sz w:val="44"/>
          <w:szCs w:val="32"/>
        </w:rPr>
      </w:pPr>
      <w:r w:rsidRPr="00C04D08">
        <w:rPr>
          <w:rFonts w:ascii="Source Sans Pro" w:eastAsiaTheme="majorEastAsia" w:hAnsi="Source Sans Pro" w:cstheme="majorBidi"/>
          <w:sz w:val="44"/>
          <w:szCs w:val="32"/>
        </w:rPr>
        <w:lastRenderedPageBreak/>
        <w:t xml:space="preserve">10 Reasons to Invest in </w:t>
      </w:r>
      <w:r w:rsidR="00611E4A">
        <w:rPr>
          <w:rFonts w:ascii="Source Sans Pro" w:eastAsiaTheme="majorEastAsia" w:hAnsi="Source Sans Pro" w:cstheme="majorBidi"/>
          <w:sz w:val="44"/>
          <w:szCs w:val="32"/>
        </w:rPr>
        <w:t>Logan Reserve</w:t>
      </w:r>
    </w:p>
    <w:p w14:paraId="5E4B4133" w14:textId="77777777" w:rsidR="00611E4A" w:rsidRPr="00611E4A" w:rsidRDefault="00611E4A" w:rsidP="00611E4A">
      <w:pPr>
        <w:spacing w:after="180" w:line="276" w:lineRule="auto"/>
        <w:rPr>
          <w:rFonts w:ascii="Source Sans Pro" w:hAnsi="Source Sans Pro"/>
          <w:lang w:val="en-AU"/>
        </w:rPr>
      </w:pPr>
      <w:r w:rsidRPr="00611E4A">
        <w:rPr>
          <w:rFonts w:ascii="Source Sans Pro" w:hAnsi="Source Sans Pro"/>
          <w:b/>
          <w:bCs/>
          <w:lang w:val="en-AU"/>
        </w:rPr>
        <w:t xml:space="preserve">1. Strong Capital Growth: </w:t>
      </w:r>
      <w:r w:rsidRPr="00611E4A">
        <w:rPr>
          <w:rFonts w:ascii="Source Sans Pro" w:hAnsi="Source Sans Pro"/>
          <w:lang w:val="en-AU"/>
        </w:rPr>
        <w:t>Consistent annual growth rates make it a lucrative investment.</w:t>
      </w:r>
    </w:p>
    <w:p w14:paraId="0811196C" w14:textId="77777777" w:rsidR="00611E4A" w:rsidRPr="00611E4A" w:rsidRDefault="00611E4A" w:rsidP="00611E4A">
      <w:pPr>
        <w:spacing w:after="180" w:line="276" w:lineRule="auto"/>
        <w:rPr>
          <w:rFonts w:ascii="Source Sans Pro" w:hAnsi="Source Sans Pro"/>
          <w:b/>
          <w:bCs/>
          <w:lang w:val="en-AU"/>
        </w:rPr>
      </w:pPr>
      <w:r w:rsidRPr="00611E4A">
        <w:rPr>
          <w:rFonts w:ascii="Source Sans Pro" w:hAnsi="Source Sans Pro"/>
          <w:b/>
          <w:bCs/>
          <w:lang w:val="en-AU"/>
        </w:rPr>
        <w:t xml:space="preserve">2. Major Infrastructure Projects: </w:t>
      </w:r>
      <w:r w:rsidRPr="00611E4A">
        <w:rPr>
          <w:rFonts w:ascii="Source Sans Pro" w:hAnsi="Source Sans Pro"/>
          <w:lang w:val="en-AU"/>
        </w:rPr>
        <w:t>Developments like the City Futures Strategy are set to boost the local economy and property values.</w:t>
      </w:r>
    </w:p>
    <w:p w14:paraId="1308FA30" w14:textId="77777777" w:rsidR="00611E4A" w:rsidRPr="00611E4A" w:rsidRDefault="00611E4A" w:rsidP="00611E4A">
      <w:pPr>
        <w:spacing w:after="180" w:line="276" w:lineRule="auto"/>
        <w:rPr>
          <w:rFonts w:ascii="Source Sans Pro" w:hAnsi="Source Sans Pro"/>
          <w:b/>
          <w:bCs/>
          <w:lang w:val="en-AU"/>
        </w:rPr>
      </w:pPr>
      <w:r w:rsidRPr="00611E4A">
        <w:rPr>
          <w:rFonts w:ascii="Source Sans Pro" w:hAnsi="Source Sans Pro"/>
          <w:b/>
          <w:bCs/>
          <w:lang w:val="en-AU"/>
        </w:rPr>
        <w:t xml:space="preserve">3. Population Growth: </w:t>
      </w:r>
      <w:r w:rsidRPr="00611E4A">
        <w:rPr>
          <w:rFonts w:ascii="Source Sans Pro" w:hAnsi="Source Sans Pro"/>
          <w:lang w:val="en-AU"/>
        </w:rPr>
        <w:t>A growing population indicates increasing demand for housing.</w:t>
      </w:r>
    </w:p>
    <w:p w14:paraId="5A72AE85" w14:textId="77777777" w:rsidR="00611E4A" w:rsidRPr="00611E4A" w:rsidRDefault="00611E4A" w:rsidP="00611E4A">
      <w:pPr>
        <w:spacing w:after="180" w:line="276" w:lineRule="auto"/>
        <w:rPr>
          <w:rFonts w:ascii="Source Sans Pro" w:hAnsi="Source Sans Pro"/>
          <w:b/>
          <w:bCs/>
          <w:lang w:val="en-AU"/>
        </w:rPr>
      </w:pPr>
      <w:r w:rsidRPr="00611E4A">
        <w:rPr>
          <w:rFonts w:ascii="Source Sans Pro" w:hAnsi="Source Sans Pro"/>
          <w:b/>
          <w:bCs/>
          <w:lang w:val="en-AU"/>
        </w:rPr>
        <w:t xml:space="preserve">4. Excellent Transport Links: </w:t>
      </w:r>
      <w:r w:rsidRPr="00611E4A">
        <w:rPr>
          <w:rFonts w:ascii="Source Sans Pro" w:hAnsi="Source Sans Pro"/>
          <w:lang w:val="en-AU"/>
        </w:rPr>
        <w:t>Easy access to major highways and public transport enhances connectivity.</w:t>
      </w:r>
    </w:p>
    <w:p w14:paraId="7C9E0F29" w14:textId="77777777" w:rsidR="00611E4A" w:rsidRPr="00611E4A" w:rsidRDefault="00611E4A" w:rsidP="00611E4A">
      <w:pPr>
        <w:spacing w:after="180" w:line="276" w:lineRule="auto"/>
        <w:rPr>
          <w:rFonts w:ascii="Source Sans Pro" w:hAnsi="Source Sans Pro"/>
          <w:b/>
          <w:bCs/>
          <w:lang w:val="en-AU"/>
        </w:rPr>
      </w:pPr>
      <w:r w:rsidRPr="00611E4A">
        <w:rPr>
          <w:rFonts w:ascii="Source Sans Pro" w:hAnsi="Source Sans Pro"/>
          <w:b/>
          <w:bCs/>
          <w:lang w:val="en-AU"/>
        </w:rPr>
        <w:t xml:space="preserve">5. Proximity to Shopping Centres: </w:t>
      </w:r>
      <w:r w:rsidRPr="00611E4A">
        <w:rPr>
          <w:rFonts w:ascii="Source Sans Pro" w:hAnsi="Source Sans Pro"/>
          <w:lang w:val="en-AU"/>
        </w:rPr>
        <w:t>Access to major retail hubs adds to the area’s appeal.</w:t>
      </w:r>
    </w:p>
    <w:p w14:paraId="56B898D8" w14:textId="77777777" w:rsidR="00611E4A" w:rsidRPr="00611E4A" w:rsidRDefault="00611E4A" w:rsidP="00611E4A">
      <w:pPr>
        <w:spacing w:after="180" w:line="276" w:lineRule="auto"/>
        <w:rPr>
          <w:rFonts w:ascii="Source Sans Pro" w:hAnsi="Source Sans Pro"/>
          <w:b/>
          <w:bCs/>
          <w:lang w:val="en-AU"/>
        </w:rPr>
      </w:pPr>
      <w:r w:rsidRPr="00611E4A">
        <w:rPr>
          <w:rFonts w:ascii="Source Sans Pro" w:hAnsi="Source Sans Pro"/>
          <w:b/>
          <w:bCs/>
          <w:lang w:val="en-AU"/>
        </w:rPr>
        <w:t xml:space="preserve">6. Educational Facilities: </w:t>
      </w:r>
      <w:r w:rsidRPr="00611E4A">
        <w:rPr>
          <w:rFonts w:ascii="Source Sans Pro" w:hAnsi="Source Sans Pro"/>
          <w:lang w:val="en-AU"/>
        </w:rPr>
        <w:t>A range of quality educational institutions caters to families and students.</w:t>
      </w:r>
    </w:p>
    <w:p w14:paraId="02CC878A" w14:textId="77777777" w:rsidR="00611E4A" w:rsidRPr="00611E4A" w:rsidRDefault="00611E4A" w:rsidP="00611E4A">
      <w:pPr>
        <w:spacing w:after="180" w:line="276" w:lineRule="auto"/>
        <w:rPr>
          <w:rFonts w:ascii="Source Sans Pro" w:hAnsi="Source Sans Pro"/>
          <w:b/>
          <w:bCs/>
          <w:lang w:val="en-AU"/>
        </w:rPr>
      </w:pPr>
      <w:r w:rsidRPr="00611E4A">
        <w:rPr>
          <w:rFonts w:ascii="Source Sans Pro" w:hAnsi="Source Sans Pro"/>
          <w:b/>
          <w:bCs/>
          <w:lang w:val="en-AU"/>
        </w:rPr>
        <w:t xml:space="preserve">7. Employment Opportunities: </w:t>
      </w:r>
      <w:r w:rsidRPr="00611E4A">
        <w:rPr>
          <w:rFonts w:ascii="Source Sans Pro" w:hAnsi="Source Sans Pro"/>
          <w:lang w:val="en-AU"/>
        </w:rPr>
        <w:t>Ongoing developments are creating jobs, attracting more residents.</w:t>
      </w:r>
    </w:p>
    <w:p w14:paraId="7B787047" w14:textId="77777777" w:rsidR="00611E4A" w:rsidRPr="00611E4A" w:rsidRDefault="00611E4A" w:rsidP="00611E4A">
      <w:pPr>
        <w:spacing w:after="180" w:line="276" w:lineRule="auto"/>
        <w:rPr>
          <w:rFonts w:ascii="Source Sans Pro" w:hAnsi="Source Sans Pro"/>
          <w:b/>
          <w:bCs/>
          <w:lang w:val="en-AU"/>
        </w:rPr>
      </w:pPr>
      <w:r w:rsidRPr="00611E4A">
        <w:rPr>
          <w:rFonts w:ascii="Source Sans Pro" w:hAnsi="Source Sans Pro"/>
          <w:b/>
          <w:bCs/>
          <w:lang w:val="en-AU"/>
        </w:rPr>
        <w:t xml:space="preserve">8. Community Amenities: </w:t>
      </w:r>
      <w:r w:rsidRPr="00611E4A">
        <w:rPr>
          <w:rFonts w:ascii="Source Sans Pro" w:hAnsi="Source Sans Pro"/>
          <w:lang w:val="en-AU"/>
        </w:rPr>
        <w:t>Parks and recreational facilities enhance the quality of life.</w:t>
      </w:r>
    </w:p>
    <w:p w14:paraId="56784802" w14:textId="77777777" w:rsidR="00611E4A" w:rsidRPr="00611E4A" w:rsidRDefault="00611E4A" w:rsidP="00611E4A">
      <w:pPr>
        <w:spacing w:after="180" w:line="276" w:lineRule="auto"/>
        <w:rPr>
          <w:rFonts w:ascii="Source Sans Pro" w:hAnsi="Source Sans Pro"/>
          <w:b/>
          <w:bCs/>
          <w:lang w:val="en-AU"/>
        </w:rPr>
      </w:pPr>
      <w:r w:rsidRPr="00611E4A">
        <w:rPr>
          <w:rFonts w:ascii="Source Sans Pro" w:hAnsi="Source Sans Pro"/>
          <w:b/>
          <w:bCs/>
          <w:lang w:val="en-AU"/>
        </w:rPr>
        <w:t xml:space="preserve">9. Rental Yield: </w:t>
      </w:r>
      <w:r w:rsidRPr="00611E4A">
        <w:rPr>
          <w:rFonts w:ascii="Source Sans Pro" w:hAnsi="Source Sans Pro"/>
          <w:lang w:val="en-AU"/>
        </w:rPr>
        <w:t>Competitive rental yields offer attractive returns for investors.</w:t>
      </w:r>
    </w:p>
    <w:p w14:paraId="5F6F5B01" w14:textId="77777777" w:rsidR="00611E4A" w:rsidRPr="00611E4A" w:rsidRDefault="00611E4A" w:rsidP="00611E4A">
      <w:pPr>
        <w:spacing w:after="180" w:line="276" w:lineRule="auto"/>
        <w:rPr>
          <w:rFonts w:ascii="Source Sans Pro" w:hAnsi="Source Sans Pro"/>
          <w:b/>
          <w:bCs/>
          <w:lang w:val="en-AU"/>
        </w:rPr>
      </w:pPr>
      <w:r w:rsidRPr="00611E4A">
        <w:rPr>
          <w:rFonts w:ascii="Source Sans Pro" w:hAnsi="Source Sans Pro"/>
          <w:b/>
          <w:bCs/>
          <w:lang w:val="en-AU"/>
        </w:rPr>
        <w:t xml:space="preserve">10. Future Growth Potential: </w:t>
      </w:r>
      <w:r w:rsidRPr="00611E4A">
        <w:rPr>
          <w:rFonts w:ascii="Source Sans Pro" w:hAnsi="Source Sans Pro"/>
          <w:lang w:val="en-AU"/>
        </w:rPr>
        <w:t>Planned infrastructure and community projects indicate sustained growth prospects.</w:t>
      </w:r>
    </w:p>
    <w:p w14:paraId="0543DEAD" w14:textId="77777777" w:rsidR="00C04D08" w:rsidRPr="00C04D08" w:rsidRDefault="00C04D08" w:rsidP="002A4BFE">
      <w:pPr>
        <w:spacing w:after="180" w:line="276" w:lineRule="auto"/>
        <w:rPr>
          <w:rFonts w:ascii="Source Sans Pro" w:eastAsia="Times New Roman" w:hAnsi="Source Sans Pro" w:cs="Times New Roman"/>
          <w:color w:val="212121"/>
          <w:sz w:val="18"/>
          <w:szCs w:val="18"/>
          <w:lang w:val="en-AU" w:eastAsia="en-GB"/>
        </w:rPr>
      </w:pPr>
    </w:p>
    <w:p w14:paraId="4A2CE821" w14:textId="77777777" w:rsidR="00611E4A" w:rsidRPr="00611E4A" w:rsidRDefault="00611E4A" w:rsidP="00611E4A">
      <w:pPr>
        <w:spacing w:after="0" w:line="276" w:lineRule="auto"/>
        <w:rPr>
          <w:rFonts w:ascii="Source Sans Pro" w:hAnsi="Source Sans Pro"/>
        </w:rPr>
      </w:pPr>
      <w:r w:rsidRPr="00611E4A">
        <w:rPr>
          <w:rFonts w:ascii="Source Sans Pro" w:hAnsi="Source Sans Pro"/>
        </w:rPr>
        <w:t xml:space="preserve">In conclusion, Logan Reserve presents a promising investment landscape, characterized by strong capital growth, strategic infrastructure developments, </w:t>
      </w:r>
      <w:proofErr w:type="spellStart"/>
      <w:r w:rsidRPr="00611E4A">
        <w:rPr>
          <w:rFonts w:ascii="Source Sans Pro" w:hAnsi="Source Sans Pro"/>
        </w:rPr>
        <w:t>favorable</w:t>
      </w:r>
      <w:proofErr w:type="spellEnd"/>
      <w:r w:rsidRPr="00611E4A">
        <w:rPr>
          <w:rFonts w:ascii="Source Sans Pro" w:hAnsi="Source Sans Pro"/>
        </w:rPr>
        <w:t xml:space="preserve"> demographics, excellent transport connectivity, comprehensive shopping and educational facilities, and a host of factors that collectively enhance its appeal to property investors.</w:t>
      </w:r>
    </w:p>
    <w:p w14:paraId="37D211BB" w14:textId="77777777" w:rsidR="00611E4A" w:rsidRPr="00611E4A" w:rsidRDefault="00611E4A" w:rsidP="00611E4A">
      <w:pPr>
        <w:pStyle w:val="Heading2"/>
        <w:rPr>
          <w:rFonts w:ascii="Source Sans Pro" w:hAnsi="Source Sans Pro"/>
          <w:lang w:val="en-AU"/>
        </w:rPr>
      </w:pPr>
    </w:p>
    <w:p w14:paraId="02C3E7B3" w14:textId="170E3862" w:rsidR="00903D85" w:rsidRDefault="00903D85" w:rsidP="00C04D08">
      <w:pPr>
        <w:pStyle w:val="Heading2"/>
      </w:pPr>
    </w:p>
    <w:sectPr w:rsidR="00903D85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8C3ED" w14:textId="77777777" w:rsidR="00437C11" w:rsidRDefault="00437C11">
      <w:pPr>
        <w:spacing w:after="0" w:line="240" w:lineRule="auto"/>
      </w:pPr>
      <w:r>
        <w:separator/>
      </w:r>
    </w:p>
    <w:p w14:paraId="16A11CE3" w14:textId="77777777" w:rsidR="00437C11" w:rsidRDefault="00437C11"/>
    <w:p w14:paraId="3DDDF660" w14:textId="77777777" w:rsidR="00437C11" w:rsidRDefault="00437C11"/>
  </w:endnote>
  <w:endnote w:type="continuationSeparator" w:id="0">
    <w:p w14:paraId="77CE3332" w14:textId="77777777" w:rsidR="00437C11" w:rsidRDefault="00437C11">
      <w:pPr>
        <w:spacing w:after="0" w:line="240" w:lineRule="auto"/>
      </w:pPr>
      <w:r>
        <w:continuationSeparator/>
      </w:r>
    </w:p>
    <w:p w14:paraId="3C8F0930" w14:textId="77777777" w:rsidR="00437C11" w:rsidRDefault="00437C11"/>
    <w:p w14:paraId="56605239" w14:textId="77777777" w:rsidR="00437C11" w:rsidRDefault="00437C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26739" w14:textId="77777777" w:rsidR="00903D85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A6E3D" w14:textId="77777777" w:rsidR="00437C11" w:rsidRDefault="00437C11">
      <w:pPr>
        <w:spacing w:after="0" w:line="240" w:lineRule="auto"/>
      </w:pPr>
      <w:r>
        <w:separator/>
      </w:r>
    </w:p>
    <w:p w14:paraId="45741485" w14:textId="77777777" w:rsidR="00437C11" w:rsidRDefault="00437C11"/>
    <w:p w14:paraId="1143FD8C" w14:textId="77777777" w:rsidR="00437C11" w:rsidRDefault="00437C11"/>
  </w:footnote>
  <w:footnote w:type="continuationSeparator" w:id="0">
    <w:p w14:paraId="7B70F799" w14:textId="77777777" w:rsidR="00437C11" w:rsidRDefault="00437C11">
      <w:pPr>
        <w:spacing w:after="0" w:line="240" w:lineRule="auto"/>
      </w:pPr>
      <w:r>
        <w:continuationSeparator/>
      </w:r>
    </w:p>
    <w:p w14:paraId="37D7A0D8" w14:textId="77777777" w:rsidR="00437C11" w:rsidRDefault="00437C11"/>
    <w:p w14:paraId="66424679" w14:textId="77777777" w:rsidR="00437C11" w:rsidRDefault="00437C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7E13D2"/>
    <w:multiLevelType w:val="hybridMultilevel"/>
    <w:tmpl w:val="B47C841C"/>
    <w:lvl w:ilvl="0" w:tplc="0809000F">
      <w:start w:val="1"/>
      <w:numFmt w:val="decimal"/>
      <w:lvlText w:val="%1."/>
      <w:lvlJc w:val="left"/>
      <w:pPr>
        <w:ind w:left="850" w:hanging="360"/>
      </w:pPr>
      <w:rPr>
        <w:rFonts w:hint="default"/>
        <w:color w:val="000000" w:themeColor="text1"/>
        <w:w w:val="10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54423">
    <w:abstractNumId w:val="9"/>
  </w:num>
  <w:num w:numId="2" w16cid:durableId="839274436">
    <w:abstractNumId w:val="12"/>
  </w:num>
  <w:num w:numId="3" w16cid:durableId="341930583">
    <w:abstractNumId w:val="15"/>
  </w:num>
  <w:num w:numId="4" w16cid:durableId="1647584055">
    <w:abstractNumId w:val="13"/>
  </w:num>
  <w:num w:numId="5" w16cid:durableId="802312513">
    <w:abstractNumId w:val="11"/>
  </w:num>
  <w:num w:numId="6" w16cid:durableId="978346079">
    <w:abstractNumId w:val="7"/>
  </w:num>
  <w:num w:numId="7" w16cid:durableId="319818121">
    <w:abstractNumId w:val="6"/>
  </w:num>
  <w:num w:numId="8" w16cid:durableId="2076931491">
    <w:abstractNumId w:val="5"/>
  </w:num>
  <w:num w:numId="9" w16cid:durableId="986858628">
    <w:abstractNumId w:val="4"/>
  </w:num>
  <w:num w:numId="10" w16cid:durableId="102698310">
    <w:abstractNumId w:val="8"/>
  </w:num>
  <w:num w:numId="11" w16cid:durableId="1430740491">
    <w:abstractNumId w:val="3"/>
  </w:num>
  <w:num w:numId="12" w16cid:durableId="874465926">
    <w:abstractNumId w:val="2"/>
  </w:num>
  <w:num w:numId="13" w16cid:durableId="1060598596">
    <w:abstractNumId w:val="1"/>
  </w:num>
  <w:num w:numId="14" w16cid:durableId="1271862146">
    <w:abstractNumId w:val="0"/>
  </w:num>
  <w:num w:numId="15" w16cid:durableId="1095203769">
    <w:abstractNumId w:val="14"/>
  </w:num>
  <w:num w:numId="16" w16cid:durableId="1129396777">
    <w:abstractNumId w:val="16"/>
  </w:num>
  <w:num w:numId="17" w16cid:durableId="886138858">
    <w:abstractNumId w:val="14"/>
  </w:num>
  <w:num w:numId="18" w16cid:durableId="967508977">
    <w:abstractNumId w:val="14"/>
  </w:num>
  <w:num w:numId="19" w16cid:durableId="242951699">
    <w:abstractNumId w:val="14"/>
  </w:num>
  <w:num w:numId="20" w16cid:durableId="859201777">
    <w:abstractNumId w:val="14"/>
  </w:num>
  <w:num w:numId="21" w16cid:durableId="1918904048">
    <w:abstractNumId w:val="14"/>
  </w:num>
  <w:num w:numId="22" w16cid:durableId="1743477967">
    <w:abstractNumId w:val="14"/>
  </w:num>
  <w:num w:numId="23" w16cid:durableId="1600259670">
    <w:abstractNumId w:val="14"/>
  </w:num>
  <w:num w:numId="24" w16cid:durableId="421073576">
    <w:abstractNumId w:val="14"/>
  </w:num>
  <w:num w:numId="25" w16cid:durableId="1002321213">
    <w:abstractNumId w:val="14"/>
  </w:num>
  <w:num w:numId="26" w16cid:durableId="2003199038">
    <w:abstractNumId w:val="14"/>
  </w:num>
  <w:num w:numId="27" w16cid:durableId="154687712">
    <w:abstractNumId w:val="14"/>
  </w:num>
  <w:num w:numId="28" w16cid:durableId="2101900841">
    <w:abstractNumId w:val="14"/>
  </w:num>
  <w:num w:numId="29" w16cid:durableId="316694559">
    <w:abstractNumId w:val="10"/>
  </w:num>
  <w:num w:numId="30" w16cid:durableId="959803876">
    <w:abstractNumId w:val="14"/>
  </w:num>
  <w:num w:numId="31" w16cid:durableId="305671526">
    <w:abstractNumId w:val="14"/>
  </w:num>
  <w:num w:numId="32" w16cid:durableId="391125546">
    <w:abstractNumId w:val="14"/>
  </w:num>
  <w:num w:numId="33" w16cid:durableId="506916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08"/>
    <w:rsid w:val="002A4BFE"/>
    <w:rsid w:val="002F2E37"/>
    <w:rsid w:val="00437C11"/>
    <w:rsid w:val="00611E4A"/>
    <w:rsid w:val="00903D85"/>
    <w:rsid w:val="00C04D08"/>
    <w:rsid w:val="00E6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8D1ED"/>
  <w15:chartTrackingRefBased/>
  <w15:docId w15:val="{0D0DF115-E952-0541-A03C-7ABF1C8E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NormalWeb">
    <w:name w:val="Normal (Web)"/>
    <w:basedOn w:val="Normal"/>
    <w:uiPriority w:val="99"/>
    <w:semiHidden/>
    <w:unhideWhenUsed/>
    <w:rsid w:val="00C04D08"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0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aylahaginikitas/Library/Containers/com.microsoft.Word/Data/Library/Application%20Support/Microsoft/Office/16.0/DTS/en-AU%7bA05AC242-F383-9447-9091-B929EE2C0A60%7d/%7b6593A757-44F5-BE4F-B7FA-B56404E8B6A8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21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Haginikitas</dc:creator>
  <cp:keywords/>
  <dc:description/>
  <cp:lastModifiedBy>Mikayla Haginikitas</cp:lastModifiedBy>
  <cp:revision>2</cp:revision>
  <dcterms:created xsi:type="dcterms:W3CDTF">2025-03-19T22:45:00Z</dcterms:created>
  <dcterms:modified xsi:type="dcterms:W3CDTF">2025-03-19T23:15:00Z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