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817F6C">
      <w:pPr>
        <w:jc w:val="center"/>
        <w:rPr>
          <w:rFonts w:ascii="Times New Roman" w:hAnsi="Times New Roman" w:cs="Times New Roman"/>
          <w:b/>
          <w:sz w:val="28"/>
          <w:szCs w:val="28"/>
        </w:rPr>
      </w:pPr>
      <w:r>
        <w:rPr>
          <w:rFonts w:ascii="Times New Roman" w:hAnsi="Times New Roman" w:cs="Times New Roman"/>
          <w:b/>
          <w:sz w:val="28"/>
          <w:szCs w:val="28"/>
        </w:rPr>
        <w:t>Project Performance Testing</w:t>
      </w:r>
    </w:p>
    <w:p w14:paraId="009B661D">
      <w:pPr>
        <w:spacing w:after="0"/>
        <w:jc w:val="center"/>
        <w:rPr>
          <w:rFonts w:ascii="Arial" w:hAnsi="Arial" w:eastAsia="Arial" w:cs="Arial"/>
          <w:b/>
        </w:rPr>
      </w:pPr>
      <w:bookmarkStart w:id="0" w:name="_GoBack"/>
      <w:bookmarkEnd w:id="0"/>
    </w:p>
    <w:tbl>
      <w:tblPr>
        <w:tblStyle w:val="4"/>
        <w:tblW w:w="100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836"/>
        <w:gridCol w:w="5196"/>
      </w:tblGrid>
      <w:tr w14:paraId="1B64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4836" w:type="dxa"/>
          </w:tcPr>
          <w:p w14:paraId="2F1B8C16">
            <w:pPr>
              <w:spacing w:after="0" w:line="240" w:lineRule="auto"/>
              <w:rPr>
                <w:rFonts w:ascii="Arial" w:hAnsi="Arial" w:eastAsia="Arial" w:cs="Arial"/>
              </w:rPr>
            </w:pPr>
            <w:r>
              <w:rPr>
                <w:rFonts w:ascii="Arial" w:hAnsi="Arial" w:eastAsia="Arial" w:cs="Arial"/>
              </w:rPr>
              <w:t>Date</w:t>
            </w:r>
          </w:p>
        </w:tc>
        <w:tc>
          <w:tcPr>
            <w:tcW w:w="5196" w:type="dxa"/>
          </w:tcPr>
          <w:p w14:paraId="57EB4C3A">
            <w:pPr>
              <w:spacing w:after="0" w:line="240" w:lineRule="auto"/>
              <w:rPr>
                <w:rFonts w:ascii="Arial" w:hAnsi="Arial" w:eastAsia="Arial" w:cs="Arial"/>
              </w:rPr>
            </w:pPr>
            <w:r>
              <w:rPr>
                <w:rFonts w:hint="default" w:ascii="Arial" w:hAnsi="Arial" w:eastAsia="Arial" w:cs="Arial"/>
                <w:lang w:val="en-US"/>
              </w:rPr>
              <w:t>20</w:t>
            </w:r>
            <w:r>
              <w:rPr>
                <w:rFonts w:ascii="Arial" w:hAnsi="Arial" w:eastAsia="Arial" w:cs="Arial"/>
              </w:rPr>
              <w:t>-02-2026</w:t>
            </w:r>
          </w:p>
        </w:tc>
      </w:tr>
      <w:tr w14:paraId="784AD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8" w:hRule="atLeast"/>
          <w:jc w:val="center"/>
        </w:trPr>
        <w:tc>
          <w:tcPr>
            <w:tcW w:w="4836" w:type="dxa"/>
          </w:tcPr>
          <w:p w14:paraId="2EC71A5B">
            <w:pPr>
              <w:spacing w:after="0" w:line="240" w:lineRule="auto"/>
              <w:rPr>
                <w:rFonts w:ascii="Arial" w:hAnsi="Arial" w:eastAsia="Arial" w:cs="Arial"/>
              </w:rPr>
            </w:pPr>
            <w:r>
              <w:rPr>
                <w:rFonts w:ascii="Arial" w:hAnsi="Arial" w:eastAsia="Arial" w:cs="Arial"/>
              </w:rPr>
              <w:t>Team ID</w:t>
            </w:r>
          </w:p>
        </w:tc>
        <w:tc>
          <w:tcPr>
            <w:tcW w:w="5196" w:type="dxa"/>
          </w:tcPr>
          <w:p w14:paraId="7EFB0EFD">
            <w:pPr>
              <w:spacing w:after="0" w:line="240" w:lineRule="auto"/>
              <w:rPr>
                <w:rFonts w:ascii="Arial" w:hAnsi="Arial" w:eastAsia="Arial" w:cs="Arial"/>
              </w:rPr>
            </w:pPr>
            <w:r>
              <w:rPr>
                <w:rFonts w:hint="default" w:ascii="Arial" w:hAnsi="Arial" w:eastAsia="Arial"/>
                <w:sz w:val="22"/>
                <w:szCs w:val="22"/>
              </w:rPr>
              <w:t>LTVIP2026TMIDS52422</w:t>
            </w:r>
          </w:p>
        </w:tc>
      </w:tr>
      <w:tr w14:paraId="02285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 w:hRule="atLeast"/>
          <w:jc w:val="center"/>
        </w:trPr>
        <w:tc>
          <w:tcPr>
            <w:tcW w:w="4836" w:type="dxa"/>
          </w:tcPr>
          <w:p w14:paraId="2FD66CED">
            <w:pPr>
              <w:spacing w:after="0" w:line="240" w:lineRule="auto"/>
              <w:rPr>
                <w:rFonts w:ascii="Arial" w:hAnsi="Arial" w:eastAsia="Arial" w:cs="Arial"/>
              </w:rPr>
            </w:pPr>
            <w:r>
              <w:rPr>
                <w:rFonts w:ascii="Arial" w:hAnsi="Arial" w:eastAsia="Arial" w:cs="Arial"/>
              </w:rPr>
              <w:t>Project Name</w:t>
            </w:r>
          </w:p>
        </w:tc>
        <w:tc>
          <w:tcPr>
            <w:tcW w:w="5196" w:type="dxa"/>
          </w:tcPr>
          <w:p w14:paraId="7FB12272">
            <w:pPr>
              <w:tabs>
                <w:tab w:val="left" w:pos="1788"/>
              </w:tabs>
              <w:spacing w:after="0" w:line="240" w:lineRule="auto"/>
              <w:rPr>
                <w:rFonts w:ascii="Arial" w:hAnsi="Arial" w:eastAsia="Arial" w:cs="Arial"/>
              </w:rPr>
            </w:pPr>
            <w:r>
              <w:rPr>
                <w:rFonts w:hint="default" w:ascii="Times New Roman" w:hAnsi="Times New Roman" w:cs="Times New Roman"/>
                <w:color w:val="35475C"/>
                <w:szCs w:val="17"/>
                <w:shd w:val="clear" w:color="auto" w:fill="FFFFFF"/>
                <w:lang w:val="en-US"/>
              </w:rPr>
              <w:t>Tr</w:t>
            </w:r>
            <w:r>
              <w:rPr>
                <w:rFonts w:ascii="Times New Roman" w:hAnsi="Times New Roman" w:cs="Times New Roman"/>
                <w:color w:val="35475C"/>
                <w:szCs w:val="17"/>
                <w:shd w:val="clear" w:color="auto" w:fill="FFFFFF"/>
              </w:rPr>
              <w:t xml:space="preserve">anslingua: </w:t>
            </w:r>
            <w:r>
              <w:rPr>
                <w:rFonts w:hint="default" w:ascii="Times New Roman" w:hAnsi="Times New Roman" w:cs="Times New Roman"/>
                <w:color w:val="35475C"/>
                <w:szCs w:val="17"/>
                <w:shd w:val="clear" w:color="auto" w:fill="FFFFFF"/>
                <w:lang w:val="en-US"/>
              </w:rPr>
              <w:t>A</w:t>
            </w:r>
            <w:r>
              <w:rPr>
                <w:rFonts w:ascii="Times New Roman" w:hAnsi="Times New Roman" w:cs="Times New Roman"/>
                <w:color w:val="35475C"/>
                <w:szCs w:val="17"/>
                <w:shd w:val="clear" w:color="auto" w:fill="FFFFFF"/>
              </w:rPr>
              <w:t>i-powered multi-language translator</w:t>
            </w:r>
          </w:p>
        </w:tc>
      </w:tr>
      <w:tr w14:paraId="1817E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2" w:hRule="atLeast"/>
          <w:jc w:val="center"/>
        </w:trPr>
        <w:tc>
          <w:tcPr>
            <w:tcW w:w="4836" w:type="dxa"/>
          </w:tcPr>
          <w:p w14:paraId="47124ED2">
            <w:pPr>
              <w:spacing w:after="0" w:line="240" w:lineRule="auto"/>
              <w:rPr>
                <w:rFonts w:ascii="Arial" w:hAnsi="Arial" w:eastAsia="Arial" w:cs="Arial"/>
              </w:rPr>
            </w:pPr>
            <w:r>
              <w:rPr>
                <w:rFonts w:ascii="Arial" w:hAnsi="Arial" w:eastAsia="Arial" w:cs="Arial"/>
              </w:rPr>
              <w:t>Maximum Marks</w:t>
            </w:r>
          </w:p>
        </w:tc>
        <w:tc>
          <w:tcPr>
            <w:tcW w:w="5196" w:type="dxa"/>
          </w:tcPr>
          <w:p w14:paraId="6FEFD7C7">
            <w:pPr>
              <w:spacing w:after="0" w:line="240" w:lineRule="auto"/>
              <w:rPr>
                <w:rFonts w:ascii="Arial" w:hAnsi="Arial" w:eastAsia="Arial" w:cs="Arial"/>
              </w:rPr>
            </w:pPr>
            <w:r>
              <w:rPr>
                <w:rFonts w:hint="default" w:ascii="Arial" w:hAnsi="Arial" w:eastAsia="Arial" w:cs="Arial"/>
                <w:lang w:val="en-US"/>
              </w:rPr>
              <w:t xml:space="preserve">02 </w:t>
            </w:r>
            <w:r>
              <w:rPr>
                <w:rFonts w:ascii="Arial" w:hAnsi="Arial" w:eastAsia="Arial" w:cs="Arial"/>
              </w:rPr>
              <w:t>Marks</w:t>
            </w:r>
          </w:p>
        </w:tc>
      </w:tr>
    </w:tbl>
    <w:p w14:paraId="1E10CAF0">
      <w:pPr>
        <w:shd w:val="clear" w:color="auto" w:fill="FFFFFF"/>
        <w:spacing w:after="0" w:line="320" w:lineRule="atLeast"/>
        <w:rPr>
          <w:rFonts w:ascii="Times New Roman" w:hAnsi="Times New Roman" w:eastAsia="Times New Roman" w:cs="Times New Roman"/>
          <w:color w:val="0A0A0A"/>
          <w:sz w:val="24"/>
          <w:szCs w:val="24"/>
        </w:rPr>
      </w:pPr>
      <w:r>
        <w:rPr>
          <w:rFonts w:ascii="Times New Roman" w:hAnsi="Times New Roman" w:eastAsia="Times New Roman" w:cs="Times New Roman"/>
          <w:color w:val="0A0A0A"/>
          <w:sz w:val="24"/>
          <w:szCs w:val="24"/>
        </w:rPr>
        <w:t>Project testing at TransLingua (NYC/Boulder) is a comprehensive, multi-stage quality assurance process aimed at ensuring that translated, localized content is accurate, culturally appropriate, and functional within its final format. Their methodology involves a, rigorous review process where professional, native-speaking linguists, rather than just automated tools, verify the quality of the translation. </w:t>
      </w:r>
    </w:p>
    <w:p w14:paraId="359E3F75">
      <w:pPr>
        <w:shd w:val="clear" w:color="auto" w:fill="FFFFFF"/>
        <w:spacing w:after="0" w:line="320" w:lineRule="atLeast"/>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Key Aspects of Project Testing at TransLingua:</w:t>
      </w:r>
    </w:p>
    <w:p w14:paraId="46A729DA">
      <w:pPr>
        <w:numPr>
          <w:ilvl w:val="0"/>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Pre-Translation Review:</w:t>
      </w:r>
      <w:r>
        <w:rPr>
          <w:rFonts w:ascii="Times New Roman" w:hAnsi="Times New Roman" w:eastAsia="Times New Roman" w:cs="Times New Roman"/>
          <w:color w:val="0A0A0A"/>
          <w:sz w:val="24"/>
          <w:szCs w:val="24"/>
        </w:rPr>
        <w:t> Before the main project begins, TransLingua conducts a review to identify potential issues, such as phrases that do not translate well or cultural nuances that may require adaptation, reducing errors early in the process.</w:t>
      </w:r>
    </w:p>
    <w:p w14:paraId="4439CC5E">
      <w:pPr>
        <w:numPr>
          <w:ilvl w:val="0"/>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Contextual Accuracy and Cultural Sensitivity:</w:t>
      </w:r>
      <w:r>
        <w:rPr>
          <w:rFonts w:ascii="Times New Roman" w:hAnsi="Times New Roman" w:eastAsia="Times New Roman" w:cs="Times New Roman"/>
          <w:color w:val="0A0A0A"/>
          <w:sz w:val="24"/>
          <w:szCs w:val="24"/>
        </w:rPr>
        <w:t> Testing goes beyond mere proofreading to ensure that the content resonates with the target audience and is culturally appropriate, avoiding issues with idioms or local colloquialisms.</w:t>
      </w:r>
    </w:p>
    <w:p w14:paraId="7414163E">
      <w:pPr>
        <w:numPr>
          <w:ilvl w:val="0"/>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Consistency and Technical Precision:</w:t>
      </w:r>
      <w:r>
        <w:rPr>
          <w:rFonts w:ascii="Times New Roman" w:hAnsi="Times New Roman" w:eastAsia="Times New Roman" w:cs="Times New Roman"/>
          <w:color w:val="0A0A0A"/>
          <w:sz w:val="24"/>
          <w:szCs w:val="24"/>
        </w:rPr>
        <w:t> Using Translation Memory (TM) systems, they ensure consistent terminology across large projects. This includes checking technical, legal, and specialized industry terms (e.g., medical devices, engineering).</w:t>
      </w:r>
    </w:p>
    <w:p w14:paraId="7BF7D9B0">
      <w:pPr>
        <w:numPr>
          <w:ilvl w:val="0"/>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Types of Testing:</w:t>
      </w:r>
    </w:p>
    <w:p w14:paraId="13B257EC">
      <w:pPr>
        <w:numPr>
          <w:ilvl w:val="1"/>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Linguistic Quality Assurance (LQA):</w:t>
      </w:r>
      <w:r>
        <w:rPr>
          <w:rFonts w:ascii="Times New Roman" w:hAnsi="Times New Roman" w:eastAsia="Times New Roman" w:cs="Times New Roman"/>
          <w:color w:val="0A0A0A"/>
          <w:sz w:val="24"/>
          <w:szCs w:val="24"/>
        </w:rPr>
        <w:t> Reviewing for grammar, style, and accuracy.</w:t>
      </w:r>
    </w:p>
    <w:p w14:paraId="232BF906">
      <w:pPr>
        <w:numPr>
          <w:ilvl w:val="1"/>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Formatting and Layout (DTP):</w:t>
      </w:r>
      <w:r>
        <w:rPr>
          <w:rFonts w:ascii="Times New Roman" w:hAnsi="Times New Roman" w:eastAsia="Times New Roman" w:cs="Times New Roman"/>
          <w:color w:val="0A0A0A"/>
          <w:sz w:val="24"/>
          <w:szCs w:val="24"/>
        </w:rPr>
        <w:t> Ensuring that the translated text fits correctly in the layout, especially when character counts differ (e.g., German text often being longer than English).</w:t>
      </w:r>
    </w:p>
    <w:p w14:paraId="5D1687F9">
      <w:pPr>
        <w:numPr>
          <w:ilvl w:val="1"/>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Functional Testing:</w:t>
      </w:r>
      <w:r>
        <w:rPr>
          <w:rFonts w:ascii="Times New Roman" w:hAnsi="Times New Roman" w:eastAsia="Times New Roman" w:cs="Times New Roman"/>
          <w:color w:val="0A0A0A"/>
          <w:sz w:val="24"/>
          <w:szCs w:val="24"/>
        </w:rPr>
        <w:t> For websites and apps, they test that language switchers work, URLs are localized, and the site functions correctly in all supported languages.</w:t>
      </w:r>
    </w:p>
    <w:p w14:paraId="2480B85D">
      <w:pPr>
        <w:numPr>
          <w:ilvl w:val="0"/>
          <w:numId w:val="1"/>
        </w:numPr>
        <w:shd w:val="clear" w:color="auto" w:fill="FFFFFF"/>
        <w:spacing w:after="160" w:line="320" w:lineRule="atLeast"/>
        <w:ind w:left="0"/>
        <w:rPr>
          <w:rFonts w:ascii="Times New Roman" w:hAnsi="Times New Roman" w:eastAsia="Times New Roman" w:cs="Times New Roman"/>
          <w:color w:val="0A0A0A"/>
          <w:sz w:val="24"/>
          <w:szCs w:val="24"/>
        </w:rPr>
      </w:pPr>
      <w:r>
        <w:rPr>
          <w:rFonts w:ascii="Times New Roman" w:hAnsi="Times New Roman" w:eastAsia="Times New Roman" w:cs="Times New Roman"/>
          <w:b/>
          <w:bCs/>
          <w:color w:val="0A0A0A"/>
          <w:sz w:val="24"/>
          <w:szCs w:val="24"/>
        </w:rPr>
        <w:t>Specialized Services:</w:t>
      </w:r>
      <w:r>
        <w:rPr>
          <w:rFonts w:ascii="Times New Roman" w:hAnsi="Times New Roman" w:eastAsia="Times New Roman" w:cs="Times New Roman"/>
          <w:color w:val="0A0A0A"/>
          <w:sz w:val="24"/>
          <w:szCs w:val="24"/>
        </w:rPr>
        <w:t> TransLingua offers specialized testing for advertising and marketing (transcreation), where they test creative concepts and brand names for local impact. </w:t>
      </w:r>
    </w:p>
    <w:p w14:paraId="08077FB0"/>
    <w:p w14:paraId="235B4E0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D0310A"/>
    <w:multiLevelType w:val="multilevel"/>
    <w:tmpl w:val="47D031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3B3799"/>
    <w:rsid w:val="265430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customStyle="1" w:styleId="4">
    <w:name w:val="_Style 16"/>
    <w:basedOn w:val="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2026-02-20T06:22:00Z</dcterms:created>
  <dc:creator>hp</dc:creator>
  <cp:lastModifiedBy>Srirangam Gurupranathi</cp:lastModifiedBy>
  <dcterms:modified xsi:type="dcterms:W3CDTF">2026-02-20T07:38:39Z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E9C6A132BA044469B22DA5212D9779F9_12</vt:lpwstr>
  </property>
</Properties>
</file>