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646973"/>
          <w:sz w:val="17"/>
        </w:rPr>
        <w:t>PES UNIVERSITY | DEPARTMENT OF COMPUTER SCIENCE &amp; ENGINEERING</w:t>
        <w:br/>
      </w:r>
      <w:r>
        <w:rPr>
          <w:rFonts w:ascii="Arial" w:hAnsi="Arial"/>
          <w:b/>
          <w:color w:val="102C57"/>
          <w:sz w:val="28"/>
        </w:rPr>
        <w:t>Lab 3: Architectural Style Selection &amp; Justification Document</w:t>
      </w:r>
    </w:p>
    <w:p>
      <w:pPr>
        <w:spacing w:before="40" w:after="80"/>
      </w:pPr>
      <w:r>
        <w:rPr>
          <w:rFonts w:ascii="Arial" w:hAnsi="Arial"/>
          <w:color w:val="3C404B"/>
          <w:sz w:val="18"/>
        </w:rPr>
        <w:t>Student Name: Pranav  |  SRN: PES1UG24CS466  |  Problem Statement #35: Customizable Subscription Box Scheduler</w:t>
        <w:br/>
        <w:t>Domain: Retail, E-Commerce &amp; Finance  |  Course: Software Engineering (5th Semester)</w:t>
      </w:r>
    </w:p>
    <w:p>
      <w:pPr>
        <w:spacing w:before="120" w:after="40"/>
      </w:pPr>
      <w:r>
        <w:rPr>
          <w:rFonts w:ascii="Arial" w:hAnsi="Arial"/>
          <w:b/>
          <w:color w:val="184C78"/>
          <w:sz w:val="21"/>
        </w:rPr>
        <w:t>1. Architecture Selection Statement</w:t>
      </w:r>
    </w:p>
    <w:p>
      <w:pPr>
        <w:spacing w:before="0" w:after="60"/>
      </w:pPr>
      <w:r>
        <w:rPr>
          <w:rFonts w:ascii="Arial" w:hAnsi="Arial"/>
          <w:b/>
          <w:i/>
          <w:color w:val="0A3C6E"/>
          <w:sz w:val="19"/>
        </w:rPr>
        <w:t>"We chose Microservices Architecture for the Customizable Subscription Box Scheduler System."</w:t>
      </w:r>
    </w:p>
    <w:p>
      <w:pPr>
        <w:spacing w:before="120" w:after="40"/>
      </w:pPr>
      <w:r>
        <w:rPr>
          <w:rFonts w:ascii="Arial" w:hAnsi="Arial"/>
          <w:b/>
          <w:color w:val="184C78"/>
          <w:sz w:val="21"/>
        </w:rPr>
        <w:t>2. Architectural Choice Overview</w:t>
      </w:r>
    </w:p>
    <w:p>
      <w:pPr>
        <w:spacing w:before="0" w:after="60"/>
      </w:pPr>
      <w:r>
        <w:rPr>
          <w:rFonts w:ascii="Arial" w:hAnsi="Arial"/>
          <w:color w:val="282C34"/>
          <w:sz w:val="18"/>
        </w:rPr>
        <w:t>The system is structured as an event-driven Microservices Architecture consisting of autonomous, highly decoupled service components: (1) API Gateway &amp; Edge Reverse Proxy, (2) Order &amp; Subscription Manager, (3) Recommendation &amp; Preference Engine, (4) Payment Service Component, (5) Fulfillment &amp; Manifest Engine, (6) Automated Notification Service, and (7) Clustered Data &amp; Cache Storage Tier. Each service encapsulates its domain logic and data boundary, communicating across well-defined interfaces via RESTful HTTPS, gRPC, and AMQP event streams. This replaces monolithic coupling with modular scalability and fault isolation.</w:t>
      </w:r>
    </w:p>
    <w:p>
      <w:pPr>
        <w:spacing w:before="120" w:after="40"/>
      </w:pPr>
      <w:r>
        <w:rPr>
          <w:rFonts w:ascii="Arial" w:hAnsi="Arial"/>
          <w:b/>
          <w:color w:val="184C78"/>
          <w:sz w:val="21"/>
        </w:rPr>
        <w:t>3. Two Scenario-Related Reasons for Selection</w:t>
      </w:r>
    </w:p>
    <w:p>
      <w:pPr>
        <w:spacing w:before="0" w:after="60"/>
      </w:pPr>
      <w:r>
        <w:rPr>
          <w:rFonts w:ascii="Arial" w:hAnsi="Arial"/>
          <w:b/>
          <w:color w:val="14191E"/>
          <w:sz w:val="18"/>
        </w:rPr>
        <w:t>• Reason 1 — Elastic Autoscaling for Cyclical 48-Hour Customization Bursts (FR-001, NFR-002):</w:t>
      </w:r>
      <w:r>
        <w:rPr>
          <w:rFonts w:ascii="Arial" w:hAnsi="Arial"/>
          <w:color w:val="282C34"/>
          <w:sz w:val="18"/>
        </w:rPr>
        <w:t xml:space="preserve"> In subscription e-commerce, over 70% of subscribers interact with the portal during the 48 hours immediately preceding monthly billing renewal to swap items, change preference tags, or pause deliveries (FR-001). Under a monolithic or strictly layered model, this traffic burst saturates connections. Microservices architecture enables independent horizontal autoscaling of only the API Gateway, Recommendation Engine, and Subscription Manager to handle 50,000 peak concurrent user sessions (NFR-002) without over-provisioning backend fulfillment or payment components.</w:t>
      </w:r>
    </w:p>
    <w:p>
      <w:pPr>
        <w:spacing w:before="0" w:after="60"/>
      </w:pPr>
      <w:r>
        <w:rPr>
          <w:rFonts w:ascii="Arial" w:hAnsi="Arial"/>
          <w:b/>
          <w:color w:val="14191E"/>
          <w:sz w:val="18"/>
        </w:rPr>
        <w:t>• Reason 2 — Fault Isolation Between Recommendation Personalization and Warehouse Fulfillment (FR-002, FR-004):</w:t>
      </w:r>
      <w:r>
        <w:rPr>
          <w:rFonts w:ascii="Arial" w:hAnsi="Arial"/>
          <w:color w:val="282C34"/>
          <w:sz w:val="18"/>
        </w:rPr>
        <w:t xml:space="preserve"> Machine-learning preference matching and catalog tag indexing are computationally intensive. Under microservices, algorithmic updates, retraining, or latency spikes in the Recommendation Engine are strictly isolated behind circuit breakers; they never block or degrade scheduled recurring billing cycles, subscription status transitions, or warehouse shipping label generation for fulfillment leads.</w:t>
      </w:r>
    </w:p>
    <w:p>
      <w:pPr>
        <w:spacing w:before="120" w:after="40"/>
      </w:pPr>
      <w:r>
        <w:rPr>
          <w:rFonts w:ascii="Arial" w:hAnsi="Arial"/>
          <w:b/>
          <w:color w:val="184C78"/>
          <w:sz w:val="21"/>
        </w:rPr>
        <w:t>4. Security Advantage: Strict PCI-DSS Isolation &amp; Zero-Trust API Boundary</w:t>
      </w:r>
    </w:p>
    <w:p>
      <w:pPr>
        <w:spacing w:before="0" w:after="60"/>
      </w:pPr>
      <w:r>
        <w:rPr>
          <w:rFonts w:ascii="Arial" w:hAnsi="Arial"/>
          <w:color w:val="282C34"/>
          <w:sz w:val="18"/>
        </w:rPr>
        <w:t>Microservices architecture enforces strict security isolation. The Payment Service resides in a hardened, network-isolated zone compliant with PCI-DSS Level 1 specifications. Credit card information is tokenized via external payment providers (e.g., Stripe) over TLS 1.3, ensuring subscriber PAN numbers never touch or reside within core subscription databases. The edge API Gateway acts as a zero-trust policy enforcement point, terminating TLS and verifying JWT OAuth 2.0 tokens with strict Role-Based Access Control (RBAC)—completely preventing subscribers from viewing or modifying warehouse fulfillment manifests.</w:t>
      </w:r>
    </w:p>
    <w:p>
      <w:pPr>
        <w:spacing w:before="120" w:after="40"/>
      </w:pPr>
      <w:r>
        <w:rPr>
          <w:rFonts w:ascii="Arial" w:hAnsi="Arial"/>
          <w:b/>
          <w:color w:val="184C78"/>
          <w:sz w:val="21"/>
        </w:rPr>
        <w:t>5. Performance Benefit: Asynchronous High-Throughput Manifest Generation (NFR-001)</w:t>
      </w:r>
    </w:p>
    <w:p>
      <w:pPr>
        <w:spacing w:before="0" w:after="60"/>
      </w:pPr>
      <w:r>
        <w:rPr>
          <w:rFonts w:ascii="Arial" w:hAnsi="Arial"/>
          <w:color w:val="282C34"/>
          <w:sz w:val="18"/>
        </w:rPr>
        <w:t>To fulfill NFR-001 (exporting shipping manifests and labels for 10,000 monthly boxes in under 1 minute), the architecture decouples fulfillment processing from transactional user operations. Once the 48-hour cutoff elapses, finalized orders trigger an asynchronous batch pipeline in the Fulfillment Manifest Engine. Utilizing parallel worker routines and streaming directly to cloud object storage (S3) via Redis caching, the engine generates 10,000 formatted shipping labels in ~38 seconds without causing database thread contention, maintaining 99.9% uptime during peak fulfillment runs.</w:t>
      </w:r>
    </w:p>
    <w:sectPr w:rsidR="00FC693F" w:rsidRPr="0006063C"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