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Usage Data Report</w:t>
      </w:r>
    </w:p>
    <w:p>
      <w:pPr>
        <w:pStyle w:val="Heading1"/>
      </w:pPr>
      <w:r>
        <w:t>Average Monthly Transactions</w:t>
      </w:r>
    </w:p>
    <w:p>
      <w:r>
        <w:t>150 transactions per user</w:t>
      </w:r>
    </w:p>
    <w:p>
      <w:r>
        <w:t xml:space="preserve"> </w:t>
      </w:r>
    </w:p>
    <w:p>
      <w:pPr>
        <w:pStyle w:val="Heading1"/>
      </w:pPr>
      <w:r>
        <w:t>Most Common Spending Categories</w:t>
      </w:r>
    </w:p>
    <w:p>
      <w:r>
        <w:t>Groceries, entertainment, utilities</w:t>
      </w:r>
    </w:p>
    <w:p>
      <w:r>
        <w:t xml:space="preserve"> </w:t>
      </w:r>
    </w:p>
    <w:p>
      <w:pPr>
        <w:pStyle w:val="Heading1"/>
      </w:pPr>
      <w:r>
        <w:t>Peak Usage Times</w:t>
      </w:r>
    </w:p>
    <w:p>
      <w:r>
        <w:t>Weekends and evenings</w:t>
      </w:r>
    </w:p>
    <w:p>
      <w:r>
        <w:t xml:space="preserve"> </w:t>
      </w:r>
    </w:p>
    <w:p>
      <w:pPr>
        <w:pStyle w:val="Heading1"/>
      </w:pPr>
      <w:r>
        <w:t>User Feedback Highlights</w:t>
      </w:r>
    </w:p>
    <w:p>
      <w:r>
        <w:t>Positive feedback on user interface; requests for more detailed spending breakdowns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