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Research Findings Report</w:t>
      </w:r>
    </w:p>
    <w:p>
      <w:pPr>
        <w:pStyle w:val="Heading2"/>
      </w:pPr>
      <w:r>
        <w:t>Executive Summary</w:t>
      </w:r>
    </w:p>
    <w:p>
      <w:r>
        <w:t>This report provides an analysis of customer spending habits based on a dataset containing 1500 transactions. The analysis focuses on identifying common pain points and service opportunities within the digital banking platform. Key findings include frequent overdraft occurrences, low engagement with budgeting tools, and a need for better financial literacy resources.</w:t>
      </w:r>
    </w:p>
    <w:p>
      <w:pPr>
        <w:pStyle w:val="Heading2"/>
      </w:pPr>
      <w:r>
        <w:t>Introduction</w:t>
      </w:r>
    </w:p>
    <w:p>
      <w:r>
        <w:t>The objective of this analysis is to understand the spending behaviours of Lloyds' digital banking customers and identify areas for improvement. The dataset includes demographic information, transaction details, and user interaction data with the digital platform.</w:t>
      </w:r>
    </w:p>
    <w:p>
      <w:pPr>
        <w:pStyle w:val="Heading2"/>
      </w:pPr>
      <w:r>
        <w:t>Methodology</w:t>
      </w:r>
    </w:p>
    <w:p>
      <w:r>
        <w:t>Data was analysed to uncover patterns in transaction types, amounts, and customer demographics. Behavioural data was examined to understand how often and in what ways customers engage with digital banking features. The analysis involved segmenting customers by age, gender, and location to identify specific trends and challenges.</w:t>
      </w:r>
    </w:p>
    <w:p>
      <w:pPr>
        <w:pStyle w:val="Heading2"/>
      </w:pPr>
      <w:r>
        <w:t>Findings</w:t>
      </w:r>
    </w:p>
    <w:p>
      <w:r>
        <w:t>1. Frequent Overdrafts and Transaction Declines</w:t>
        <w:br/>
        <w:t xml:space="preserve">   Analysis showed a notable frequency of transaction declines due to insufficient funds, particularly among younger customers (ages 18-30). This group also showed higher instances of overdraft transactions, suggesting challenges in managing account balances.</w:t>
        <w:br/>
        <w:br/>
        <w:t>2. Low Engagement with Budgeting Tools</w:t>
        <w:br/>
        <w:t xml:space="preserve">   The data revealed that only a small percentage of users actively engage with budgeting tools available on the platform. Among those who do, the majority are in the 30-45 age range, indicating a potential gap in reaching younger demographics.</w:t>
        <w:br/>
        <w:br/>
        <w:t>3. Transaction Patterns and Categories</w:t>
        <w:br/>
        <w:t xml:space="preserve">   Spending on 'Groceries' and 'Utilities' were the most common transaction categories. However, significant spending was also noted in 'Entertainment' and 'Travel,' particularly in urban locations like London and Manchester.</w:t>
      </w:r>
    </w:p>
    <w:p>
      <w:pPr>
        <w:pStyle w:val="Heading2"/>
      </w:pPr>
      <w:r>
        <w:t>Analysis and Interpretation</w:t>
      </w:r>
    </w:p>
    <w:p>
      <w:r>
        <w:t>The frequent overdrafts and low usage of budgeting tools highlight a significant pain point: a lack of effective financial management support. Younger customers, in particular, may benefit from more intuitive tools that help them track and control spending. The low engagement with budgeting features suggests these tools may not be user-friendly or adequately marketed.</w:t>
      </w:r>
    </w:p>
    <w:p>
      <w:pPr>
        <w:pStyle w:val="Heading2"/>
      </w:pPr>
      <w:r>
        <w:t>Recommendations</w:t>
      </w:r>
    </w:p>
    <w:p>
      <w:r>
        <w:t>1. Enhanced Budgeting Tools</w:t>
        <w:br/>
        <w:t xml:space="preserve">   Develop more intuitive budgeting tools tailored to younger users, possibly incorporating gamification elements to increase engagement. Providing personalised financial advice based on spending patterns could also encourage better financial habits.</w:t>
        <w:br/>
        <w:br/>
        <w:t>2. Educational Campaigns</w:t>
        <w:br/>
        <w:t xml:space="preserve">   Launch educational campaigns focused on financial literacy, particularly targeting younger demographics. This could include webinars, interactive guides, and in-app tips.</w:t>
        <w:br/>
        <w:br/>
        <w:t>3. Push Notifications and Alerts</w:t>
        <w:br/>
        <w:t xml:space="preserve">   Implement push notifications and alerts to help users manage their finances better. For example, alerts for low balances or reminders for bill payments could prevent overdrafts and transaction declines.</w:t>
      </w:r>
    </w:p>
    <w:p>
      <w:pPr>
        <w:pStyle w:val="Heading2"/>
      </w:pPr>
      <w:r>
        <w:t>Conclusion</w:t>
      </w:r>
    </w:p>
    <w:p>
      <w:r>
        <w:t>The findings highlight several opportunities to enhance the digital banking experience at Lloyds. By addressing the identified pain points and implementing the recommended features, Lloyds can improve customer satisfaction and engagement, particularly among younger users.</w:t>
      </w:r>
    </w:p>
    <w:p>
      <w:pPr>
        <w:pStyle w:val="Heading2"/>
      </w:pPr>
      <w:r>
        <w:t>Appendices</w:t>
      </w:r>
    </w:p>
    <w:p>
      <w:r>
        <w:t>Additional data, charts, and detailed tables supporting the findings are provided in the appendices.</w:t>
      </w:r>
    </w:p>
    <w:p>
      <w:pPr>
        <w:pStyle w:val="Heading3"/>
      </w:pPr>
      <w:r>
        <w:t>Chart 1: Transaction Types Distribution</w:t>
      </w:r>
    </w:p>
    <w:p>
      <w:r>
        <w:drawing>
          <wp:inline xmlns:a="http://schemas.openxmlformats.org/drawingml/2006/main" xmlns:pic="http://schemas.openxmlformats.org/drawingml/2006/picture">
            <wp:extent cx="5715000" cy="3429000"/>
            <wp:docPr id="1" name="Picture 1"/>
            <wp:cNvGraphicFramePr>
              <a:graphicFrameLocks noChangeAspect="1"/>
            </wp:cNvGraphicFramePr>
            <a:graphic>
              <a:graphicData uri="http://schemas.openxmlformats.org/drawingml/2006/picture">
                <pic:pic>
                  <pic:nvPicPr>
                    <pic:cNvPr id="0" name="transaction_types_distribution.png"/>
                    <pic:cNvPicPr/>
                  </pic:nvPicPr>
                  <pic:blipFill>
                    <a:blip r:embed="rId9"/>
                    <a:stretch>
                      <a:fillRect/>
                    </a:stretch>
                  </pic:blipFill>
                  <pic:spPr>
                    <a:xfrm>
                      <a:off x="0" y="0"/>
                      <a:ext cx="57150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