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2B49"/>
          <w:sz w:val="32"/>
        </w:rPr>
        <w:t>TATA TECHNOLOGIES TECHPULSE FY-26 | PROJECT SYNOPSIS</w:t>
      </w:r>
    </w:p>
    <w:p>
      <w:pPr>
        <w:spacing w:before="0" w:after="80"/>
      </w:pPr>
      <w:r>
        <w:rPr>
          <w:rFonts w:ascii="Calibri" w:hAnsi="Calibri"/>
          <w:b/>
          <w:color w:val="00358E"/>
          <w:sz w:val="26"/>
        </w:rPr>
        <w:t>Case Study CS4: Secure Code Debugging and Review Assistant</w:t>
      </w:r>
    </w:p>
    <w:p>
      <w:pPr>
        <w:spacing w:before="0" w:after="160"/>
      </w:pPr>
      <w:r>
        <w:rPr>
          <w:rFonts w:ascii="Calibri" w:hAnsi="Calibri"/>
          <w:i/>
          <w:color w:val="475569"/>
          <w:sz w:val="22"/>
        </w:rPr>
        <w:t>AutoSafe-Review: Air-Gapped, AST-Aware Hybrid Diagnostic &amp; MISRA/ISO 26262 ECU Code Review Assistant</w:t>
      </w:r>
    </w:p>
    <w:p>
      <w:pPr>
        <w:keepNext/>
        <w:spacing w:before="280" w:after="80"/>
      </w:pPr>
      <w:r>
        <w:rPr>
          <w:rFonts w:ascii="Calibri" w:hAnsi="Calibri"/>
          <w:b/>
          <w:color w:val="002B49"/>
          <w:sz w:val="28"/>
        </w:rPr>
        <w:t>1. Student &amp; Project Identification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5040"/>
        <w:gridCol w:w="5040"/>
      </w:tblGrid>
      <w:tr>
        <w:tc>
          <w:tcPr>
            <w:tcW w:type="dxa" w:w="3168"/>
            <w:shd w:fill="E2E8F0"/>
            <w:tcMar>
              <w:top w:w="120" w:type="dxa"/>
              <w:bottom w:w="120" w:type="dxa"/>
              <w:left w:w="160" w:type="dxa"/>
              <w:right w:w="160" w:type="dxa"/>
            </w:tcMar>
          </w:tcPr>
          <w:p>
            <w:pPr>
              <w:spacing w:before="0" w:after="0" w:line="276" w:lineRule="auto"/>
              <w:jc w:val="left"/>
            </w:pPr>
            <w:r/>
            <w:r>
              <w:rPr>
                <w:rFonts w:ascii="Calibri" w:hAnsi="Calibri"/>
                <w:b/>
                <w:color w:val="002B49"/>
                <w:sz w:val="20"/>
              </w:rPr>
              <w:t>Field</w:t>
            </w:r>
          </w:p>
        </w:tc>
        <w:tc>
          <w:tcPr>
            <w:tcW w:type="dxa" w:w="6624"/>
            <w:shd w:fill="E2E8F0"/>
            <w:tcMar>
              <w:top w:w="120" w:type="dxa"/>
              <w:bottom w:w="120" w:type="dxa"/>
              <w:left w:w="160" w:type="dxa"/>
              <w:right w:w="160" w:type="dxa"/>
            </w:tcMar>
          </w:tcPr>
          <w:p>
            <w:pPr>
              <w:spacing w:before="0" w:after="0" w:line="276" w:lineRule="auto"/>
              <w:jc w:val="left"/>
            </w:pPr>
            <w:r/>
            <w:r>
              <w:rPr>
                <w:rFonts w:ascii="Calibri" w:hAnsi="Calibri"/>
                <w:b/>
                <w:color w:val="002B49"/>
                <w:sz w:val="20"/>
              </w:rPr>
              <w:t>Details</w:t>
            </w:r>
          </w:p>
        </w:tc>
      </w:tr>
      <w:tr>
        <w:tc>
          <w:tcPr>
            <w:tcW w:type="dxa" w:w="3168"/>
            <w:shd w:fill="F8FAFC"/>
            <w:tcMar>
              <w:top w:w="120" w:type="dxa"/>
              <w:bottom w:w="120" w:type="dxa"/>
              <w:left w:w="160" w:type="dxa"/>
              <w:right w:w="160" w:type="dxa"/>
            </w:tcMar>
          </w:tcPr>
          <w:p>
            <w:pPr>
              <w:spacing w:before="0" w:after="0" w:line="276" w:lineRule="auto"/>
              <w:jc w:val="left"/>
            </w:pPr>
            <w:r/>
            <w:r>
              <w:rPr>
                <w:rFonts w:ascii="Calibri" w:hAnsi="Calibri"/>
                <w:b/>
                <w:color w:val="0F172A"/>
                <w:sz w:val="19"/>
              </w:rPr>
              <w:t>Institute / University</w:t>
            </w:r>
          </w:p>
        </w:tc>
        <w:tc>
          <w:tcPr>
            <w:tcW w:type="dxa" w:w="6624"/>
            <w:shd w:fill="F8FAFC"/>
            <w:tcMar>
              <w:top w:w="120" w:type="dxa"/>
              <w:bottom w:w="120" w:type="dxa"/>
              <w:left w:w="160" w:type="dxa"/>
              <w:right w:w="160" w:type="dxa"/>
            </w:tcMar>
          </w:tcPr>
          <w:p>
            <w:pPr>
              <w:spacing w:before="0" w:after="0" w:line="276" w:lineRule="auto"/>
              <w:jc w:val="left"/>
            </w:pPr>
            <w:r/>
            <w:r>
              <w:rPr>
                <w:rFonts w:ascii="Calibri" w:hAnsi="Calibri"/>
                <w:b w:val="0"/>
                <w:color w:val="0F172A"/>
                <w:sz w:val="19"/>
              </w:rPr>
              <w:t>Pimpri Chinchwad College of Engineering, Pune (PCCOE)</w:t>
            </w:r>
          </w:p>
        </w:tc>
      </w:tr>
      <w:tr>
        <w:tc>
          <w:tcPr>
            <w:tcW w:type="dxa" w:w="3168"/>
            <w:tcMar>
              <w:top w:w="120" w:type="dxa"/>
              <w:bottom w:w="120" w:type="dxa"/>
              <w:left w:w="160" w:type="dxa"/>
              <w:right w:w="160" w:type="dxa"/>
            </w:tcMar>
          </w:tcPr>
          <w:p>
            <w:pPr>
              <w:spacing w:before="0" w:after="0" w:line="276" w:lineRule="auto"/>
              <w:jc w:val="left"/>
            </w:pPr>
            <w:r/>
            <w:r>
              <w:rPr>
                <w:rFonts w:ascii="Calibri" w:hAnsi="Calibri"/>
                <w:b/>
                <w:color w:val="0F172A"/>
                <w:sz w:val="19"/>
              </w:rPr>
              <w:t>Programme / Batch</w:t>
            </w:r>
          </w:p>
        </w:tc>
        <w:tc>
          <w:tcPr>
            <w:tcW w:type="dxa" w:w="6624"/>
            <w:tcMar>
              <w:top w:w="120" w:type="dxa"/>
              <w:bottom w:w="120" w:type="dxa"/>
              <w:left w:w="160" w:type="dxa"/>
              <w:right w:w="160" w:type="dxa"/>
            </w:tcMar>
          </w:tcPr>
          <w:p>
            <w:pPr>
              <w:spacing w:before="0" w:after="0" w:line="276" w:lineRule="auto"/>
              <w:jc w:val="left"/>
            </w:pPr>
            <w:r/>
            <w:r>
              <w:rPr>
                <w:rFonts w:ascii="Calibri" w:hAnsi="Calibri"/>
                <w:b w:val="0"/>
                <w:color w:val="0F172A"/>
                <w:sz w:val="19"/>
              </w:rPr>
              <w:t>B.Tech Artificial Intelligence &amp; Machine Learning / TechPulse FY-26</w:t>
            </w:r>
          </w:p>
        </w:tc>
      </w:tr>
      <w:tr>
        <w:tc>
          <w:tcPr>
            <w:tcW w:type="dxa" w:w="3168"/>
            <w:shd w:fill="F8FAFC"/>
            <w:tcMar>
              <w:top w:w="120" w:type="dxa"/>
              <w:bottom w:w="120" w:type="dxa"/>
              <w:left w:w="160" w:type="dxa"/>
              <w:right w:w="160" w:type="dxa"/>
            </w:tcMar>
          </w:tcPr>
          <w:p>
            <w:pPr>
              <w:spacing w:before="0" w:after="0" w:line="276" w:lineRule="auto"/>
              <w:jc w:val="left"/>
            </w:pPr>
            <w:r/>
            <w:r>
              <w:rPr>
                <w:rFonts w:ascii="Calibri" w:hAnsi="Calibri"/>
                <w:b/>
                <w:color w:val="0F172A"/>
                <w:sz w:val="19"/>
              </w:rPr>
              <w:t>Student Name</w:t>
            </w:r>
          </w:p>
        </w:tc>
        <w:tc>
          <w:tcPr>
            <w:tcW w:type="dxa" w:w="6624"/>
            <w:shd w:fill="F8FAFC"/>
            <w:tcMar>
              <w:top w:w="120" w:type="dxa"/>
              <w:bottom w:w="120" w:type="dxa"/>
              <w:left w:w="160" w:type="dxa"/>
              <w:right w:w="160" w:type="dxa"/>
            </w:tcMar>
          </w:tcPr>
          <w:p>
            <w:pPr>
              <w:spacing w:before="0" w:after="0" w:line="276" w:lineRule="auto"/>
              <w:jc w:val="left"/>
            </w:pPr>
            <w:r/>
            <w:r>
              <w:rPr>
                <w:rFonts w:ascii="Calibri" w:hAnsi="Calibri"/>
                <w:b w:val="0"/>
                <w:color w:val="0F172A"/>
                <w:sz w:val="19"/>
              </w:rPr>
              <w:t>Pranav Ravindra Harad</w:t>
            </w:r>
          </w:p>
        </w:tc>
      </w:tr>
      <w:tr>
        <w:tc>
          <w:tcPr>
            <w:tcW w:type="dxa" w:w="3168"/>
            <w:tcMar>
              <w:top w:w="120" w:type="dxa"/>
              <w:bottom w:w="120" w:type="dxa"/>
              <w:left w:w="160" w:type="dxa"/>
              <w:right w:w="160" w:type="dxa"/>
            </w:tcMar>
          </w:tcPr>
          <w:p>
            <w:pPr>
              <w:spacing w:before="0" w:after="0" w:line="276" w:lineRule="auto"/>
              <w:jc w:val="left"/>
            </w:pPr>
            <w:r/>
            <w:r>
              <w:rPr>
                <w:rFonts w:ascii="Calibri" w:hAnsi="Calibri"/>
                <w:b/>
                <w:color w:val="0F172A"/>
                <w:sz w:val="19"/>
              </w:rPr>
              <w:t>PRN</w:t>
            </w:r>
          </w:p>
        </w:tc>
        <w:tc>
          <w:tcPr>
            <w:tcW w:type="dxa" w:w="6624"/>
            <w:tcMar>
              <w:top w:w="120" w:type="dxa"/>
              <w:bottom w:w="120" w:type="dxa"/>
              <w:left w:w="160" w:type="dxa"/>
              <w:right w:w="160" w:type="dxa"/>
            </w:tcMar>
          </w:tcPr>
          <w:p>
            <w:pPr>
              <w:spacing w:before="0" w:after="0" w:line="276" w:lineRule="auto"/>
              <w:jc w:val="left"/>
            </w:pPr>
            <w:r/>
            <w:r>
              <w:rPr>
                <w:rFonts w:ascii="Calibri" w:hAnsi="Calibri"/>
                <w:b w:val="0"/>
                <w:color w:val="0F172A"/>
                <w:sz w:val="19"/>
              </w:rPr>
              <w:t>123B1F028</w:t>
            </w:r>
          </w:p>
        </w:tc>
      </w:tr>
      <w:tr>
        <w:tc>
          <w:tcPr>
            <w:tcW w:type="dxa" w:w="3168"/>
            <w:shd w:fill="F8FAFC"/>
            <w:tcMar>
              <w:top w:w="120" w:type="dxa"/>
              <w:bottom w:w="120" w:type="dxa"/>
              <w:left w:w="160" w:type="dxa"/>
              <w:right w:w="160" w:type="dxa"/>
            </w:tcMar>
          </w:tcPr>
          <w:p>
            <w:pPr>
              <w:spacing w:before="0" w:after="0" w:line="276" w:lineRule="auto"/>
              <w:jc w:val="left"/>
            </w:pPr>
            <w:r/>
            <w:r>
              <w:rPr>
                <w:rFonts w:ascii="Calibri" w:hAnsi="Calibri"/>
                <w:b/>
                <w:color w:val="0F172A"/>
                <w:sz w:val="19"/>
              </w:rPr>
              <w:t>Case Study ID</w:t>
            </w:r>
          </w:p>
        </w:tc>
        <w:tc>
          <w:tcPr>
            <w:tcW w:type="dxa" w:w="6624"/>
            <w:shd w:fill="F8FAFC"/>
            <w:tcMar>
              <w:top w:w="120" w:type="dxa"/>
              <w:bottom w:w="120" w:type="dxa"/>
              <w:left w:w="160" w:type="dxa"/>
              <w:right w:w="160" w:type="dxa"/>
            </w:tcMar>
          </w:tcPr>
          <w:p>
            <w:pPr>
              <w:spacing w:before="0" w:after="0" w:line="276" w:lineRule="auto"/>
              <w:jc w:val="left"/>
            </w:pPr>
            <w:r/>
            <w:r>
              <w:rPr>
                <w:rFonts w:ascii="Calibri" w:hAnsi="Calibri"/>
                <w:b w:val="0"/>
                <w:color w:val="0F172A"/>
                <w:sz w:val="19"/>
              </w:rPr>
              <w:t>CS4 (Secure Code Debugging and Review Assistant)</w:t>
            </w:r>
          </w:p>
        </w:tc>
      </w:tr>
      <w:tr>
        <w:tc>
          <w:tcPr>
            <w:tcW w:type="dxa" w:w="3168"/>
            <w:tcMar>
              <w:top w:w="120" w:type="dxa"/>
              <w:bottom w:w="120" w:type="dxa"/>
              <w:left w:w="160" w:type="dxa"/>
              <w:right w:w="160" w:type="dxa"/>
            </w:tcMar>
          </w:tcPr>
          <w:p>
            <w:pPr>
              <w:spacing w:before="0" w:after="0" w:line="276" w:lineRule="auto"/>
              <w:jc w:val="left"/>
            </w:pPr>
            <w:r/>
            <w:r>
              <w:rPr>
                <w:rFonts w:ascii="Calibri" w:hAnsi="Calibri"/>
                <w:b/>
                <w:color w:val="0F172A"/>
                <w:sz w:val="19"/>
              </w:rPr>
              <w:t>Project Title</w:t>
            </w:r>
          </w:p>
        </w:tc>
        <w:tc>
          <w:tcPr>
            <w:tcW w:type="dxa" w:w="6624"/>
            <w:tcMar>
              <w:top w:w="120" w:type="dxa"/>
              <w:bottom w:w="120" w:type="dxa"/>
              <w:left w:w="160" w:type="dxa"/>
              <w:right w:w="160" w:type="dxa"/>
            </w:tcMar>
          </w:tcPr>
          <w:p>
            <w:pPr>
              <w:spacing w:before="0" w:after="0" w:line="276" w:lineRule="auto"/>
              <w:jc w:val="left"/>
            </w:pPr>
            <w:r/>
            <w:r>
              <w:rPr>
                <w:rFonts w:ascii="Calibri" w:hAnsi="Calibri"/>
                <w:b w:val="0"/>
                <w:color w:val="0F172A"/>
                <w:sz w:val="19"/>
              </w:rPr>
              <w:t>AutoSafe-Review: Air-Gapped, AST-Aware Hybrid Diagnostic &amp; MISRA/ISO 26262 ECU Code Review Assistant</w:t>
            </w:r>
          </w:p>
        </w:tc>
      </w:tr>
    </w:tbl>
    <w:p>
      <w:pPr>
        <w:keepNext/>
        <w:spacing w:before="280" w:after="80"/>
      </w:pPr>
      <w:r>
        <w:rPr>
          <w:rFonts w:ascii="Calibri" w:hAnsi="Calibri"/>
          <w:b/>
          <w:color w:val="002B49"/>
          <w:sz w:val="28"/>
        </w:rPr>
        <w:t>2. Problem Statement &amp; Automotive Context</w:t>
      </w:r>
    </w:p>
    <w:p>
      <w:pPr>
        <w:spacing w:before="0" w:after="80" w:line="276" w:lineRule="auto"/>
      </w:pPr>
      <w:r>
        <w:rPr>
          <w:rFonts w:ascii="Calibri" w:hAnsi="Calibri"/>
          <w:color w:val="0F172A"/>
          <w:sz w:val="20"/>
        </w:rPr>
        <w:t>Modern automotive Electronic Control Units (ECUs) govern mission-critical vehicle subsystems such as Electronic Braking Systems (ABS), Battery Management Systems (BMS), and Powertrain Inverters. In automotive embedded software engineering, source code must comply strictly with international functional safety standards (ISO 26262 ASIL-B to ASIL-D) and coding rules (MISRA C:2012 and SEI CERT C).</w:t>
      </w:r>
    </w:p>
    <w:p>
      <w:pPr>
        <w:spacing w:before="0" w:after="80" w:line="276" w:lineRule="auto"/>
      </w:pPr>
      <w:r>
        <w:rPr>
          <w:rFonts w:ascii="Calibri" w:hAnsi="Calibri"/>
          <w:color w:val="0F172A"/>
          <w:sz w:val="20"/>
        </w:rPr>
        <w:t>However, commercial cloud AI tools cannot be adopted due to strict intellectual property security and air-gapped laboratory constraints. Furthermore, generic LLMs suffer from severe hallucinations—inventing fictitious rule citations and proposing non-functional C patches. AutoSafe-Review delivers an enterprise-grade, 100% on-premises, air-gapped review cockpit that combines AST parsing, deterministic static checkers, local vector RAG, and an interactive review dashboard.</w:t>
      </w:r>
    </w:p>
    <w:p>
      <w:pPr>
        <w:keepNext/>
        <w:spacing w:before="280" w:after="80"/>
      </w:pPr>
      <w:r>
        <w:rPr>
          <w:rFonts w:ascii="Calibri" w:hAnsi="Calibri"/>
          <w:b/>
          <w:color w:val="002B49"/>
          <w:sz w:val="28"/>
        </w:rPr>
        <w:t>3. Project Objectives</w:t>
      </w:r>
    </w:p>
    <w:p>
      <w:pPr>
        <w:spacing w:before="0" w:after="80" w:line="276" w:lineRule="auto"/>
      </w:pPr>
      <w:r>
        <w:rPr>
          <w:rFonts w:ascii="Calibri" w:hAnsi="Calibri"/>
          <w:b/>
          <w:color w:val="0F172A"/>
          <w:sz w:val="20"/>
        </w:rPr>
        <w:t xml:space="preserve">1. Accelerate Review &amp; Triage: </w:t>
      </w:r>
      <w:r>
        <w:rPr>
          <w:rFonts w:ascii="Calibri" w:hAnsi="Calibri"/>
          <w:color w:val="0F172A"/>
          <w:sz w:val="20"/>
        </w:rPr>
        <w:t>Reduce manual ECU static analysis triage and peer review effort from hours to seconds.</w:t>
      </w:r>
    </w:p>
    <w:p>
      <w:pPr>
        <w:spacing w:before="0" w:after="80" w:line="276" w:lineRule="auto"/>
      </w:pPr>
      <w:r>
        <w:rPr>
          <w:rFonts w:ascii="Calibri" w:hAnsi="Calibri"/>
          <w:b/>
          <w:color w:val="0F172A"/>
          <w:sz w:val="20"/>
        </w:rPr>
        <w:t xml:space="preserve">2. Standardize Code Quality: </w:t>
      </w:r>
      <w:r>
        <w:rPr>
          <w:rFonts w:ascii="Calibri" w:hAnsi="Calibri"/>
          <w:color w:val="0F172A"/>
          <w:sz w:val="20"/>
        </w:rPr>
        <w:t>Enforce uniform, deterministic compliance against MISRA C:2012, SEI CERT C, and ISO 26262:2018 Part 6.</w:t>
      </w:r>
    </w:p>
    <w:p>
      <w:pPr>
        <w:spacing w:before="0" w:after="80" w:line="276" w:lineRule="auto"/>
      </w:pPr>
      <w:r>
        <w:rPr>
          <w:rFonts w:ascii="Calibri" w:hAnsi="Calibri"/>
          <w:b/>
          <w:color w:val="0F172A"/>
          <w:sz w:val="20"/>
        </w:rPr>
        <w:t xml:space="preserve">3. Eliminate Hallucinations (100% Faithfulness): </w:t>
      </w:r>
      <w:r>
        <w:rPr>
          <w:rFonts w:ascii="Calibri" w:hAnsi="Calibri"/>
          <w:color w:val="0F172A"/>
          <w:sz w:val="20"/>
        </w:rPr>
        <w:t>Ground every flagged violation and recommended fix in official standard citations with unified diff patches.</w:t>
      </w:r>
    </w:p>
    <w:p>
      <w:pPr>
        <w:spacing w:before="0" w:after="80" w:line="276" w:lineRule="auto"/>
      </w:pPr>
      <w:r>
        <w:rPr>
          <w:rFonts w:ascii="Calibri" w:hAnsi="Calibri"/>
          <w:b/>
          <w:color w:val="0F172A"/>
          <w:sz w:val="20"/>
        </w:rPr>
        <w:t xml:space="preserve">4. Zero Cloud Telemetry: </w:t>
      </w:r>
      <w:r>
        <w:rPr>
          <w:rFonts w:ascii="Calibri" w:hAnsi="Calibri"/>
          <w:color w:val="0F172A"/>
          <w:sz w:val="20"/>
        </w:rPr>
        <w:t>Execute all parsing, vector indexing, and inference completely on-premises with zero network egress.</w:t>
      </w:r>
    </w:p>
    <w:p>
      <w:pPr>
        <w:spacing w:before="0" w:after="80" w:line="276" w:lineRule="auto"/>
      </w:pPr>
      <w:r>
        <w:rPr>
          <w:rFonts w:ascii="Calibri" w:hAnsi="Calibri"/>
          <w:b/>
          <w:color w:val="0F172A"/>
          <w:sz w:val="20"/>
        </w:rPr>
        <w:t xml:space="preserve">5. Human-in-the-Loop Governance: </w:t>
      </w:r>
      <w:r>
        <w:rPr>
          <w:rFonts w:ascii="Calibri" w:hAnsi="Calibri"/>
          <w:color w:val="0F172A"/>
          <w:sz w:val="20"/>
        </w:rPr>
        <w:t>Provide interactive real-time in-place code patching, formal MISRA deviation permit generation, and CI/CD artifact exports (SARIF v2.1.0, CSV, Markdown).</w:t>
      </w:r>
    </w:p>
    <w:p>
      <w:pPr>
        <w:keepNext/>
        <w:spacing w:before="280" w:after="80"/>
      </w:pPr>
      <w:r>
        <w:rPr>
          <w:rFonts w:ascii="Calibri" w:hAnsi="Calibri"/>
          <w:b/>
          <w:color w:val="002B49"/>
          <w:sz w:val="28"/>
        </w:rPr>
        <w:t>4. Scope &amp; Technology Boundaries</w:t>
      </w:r>
    </w:p>
    <w:p>
      <w:pPr>
        <w:pStyle w:val="ListBullet"/>
        <w:spacing w:before="0" w:after="80" w:line="276" w:lineRule="auto"/>
      </w:pPr>
      <w:r>
        <w:rPr>
          <w:rFonts w:ascii="Calibri" w:hAnsi="Calibri"/>
          <w:b/>
          <w:color w:val="0F172A"/>
          <w:sz w:val="20"/>
        </w:rPr>
        <w:t xml:space="preserve">• Language &amp; Hardware Scope: </w:t>
      </w:r>
      <w:r>
        <w:rPr>
          <w:rFonts w:ascii="Calibri" w:hAnsi="Calibri"/>
          <w:color w:val="0F172A"/>
          <w:sz w:val="20"/>
        </w:rPr>
        <w:t>C/C++ embedded automotive ECU firmware (AUTOSAR Classic, bare-metal C, ISO 26262 ASIL-B/C/D).</w:t>
      </w:r>
    </w:p>
    <w:p>
      <w:pPr>
        <w:pStyle w:val="ListBullet"/>
        <w:spacing w:before="0" w:after="80" w:line="276" w:lineRule="auto"/>
      </w:pPr>
      <w:r>
        <w:rPr>
          <w:rFonts w:ascii="Calibri" w:hAnsi="Calibri"/>
          <w:b/>
          <w:color w:val="0F172A"/>
          <w:sz w:val="20"/>
        </w:rPr>
        <w:t xml:space="preserve">• Multi-Modal Diagnostic Input: </w:t>
      </w:r>
      <w:r>
        <w:rPr>
          <w:rFonts w:ascii="Calibri" w:hAnsi="Calibri"/>
          <w:color w:val="0F172A"/>
          <w:sz w:val="20"/>
        </w:rPr>
        <w:t>C source code files, ARM GCC cross-compiler warning streams, and OASIS SARIF static analysis reports.</w:t>
      </w:r>
    </w:p>
    <w:p>
      <w:pPr>
        <w:pStyle w:val="ListBullet"/>
        <w:spacing w:before="0" w:after="80" w:line="276" w:lineRule="auto"/>
      </w:pPr>
      <w:r>
        <w:rPr>
          <w:rFonts w:ascii="Calibri" w:hAnsi="Calibri"/>
          <w:b/>
          <w:color w:val="0F172A"/>
          <w:sz w:val="20"/>
        </w:rPr>
        <w:t xml:space="preserve">• AST Parser: </w:t>
      </w:r>
      <w:r>
        <w:rPr>
          <w:rFonts w:ascii="Calibri" w:hAnsi="Calibri"/>
          <w:color w:val="0F172A"/>
          <w:sz w:val="20"/>
        </w:rPr>
        <w:t>Custom Abstract Syntax Tree (AST) Function-Aware C Parser preserving function boundaries and ISR blocks.</w:t>
      </w:r>
    </w:p>
    <w:p>
      <w:pPr>
        <w:pStyle w:val="ListBullet"/>
        <w:spacing w:before="0" w:after="80" w:line="276" w:lineRule="auto"/>
      </w:pPr>
      <w:r>
        <w:rPr>
          <w:rFonts w:ascii="Calibri" w:hAnsi="Calibri"/>
          <w:b/>
          <w:color w:val="0F172A"/>
          <w:sz w:val="20"/>
        </w:rPr>
        <w:t xml:space="preserve">• Embedding Model: </w:t>
      </w:r>
      <w:r>
        <w:rPr>
          <w:rFonts w:ascii="Calibri" w:hAnsi="Calibri"/>
          <w:color w:val="0F172A"/>
          <w:sz w:val="20"/>
        </w:rPr>
        <w:t>BAAI/bge-small-en-v1.5 / dense TF-IDF n-gram vectorizer (384 dimensions).</w:t>
      </w:r>
    </w:p>
    <w:p>
      <w:pPr>
        <w:pStyle w:val="ListBullet"/>
        <w:spacing w:before="0" w:after="80" w:line="276" w:lineRule="auto"/>
      </w:pPr>
      <w:r>
        <w:rPr>
          <w:rFonts w:ascii="Calibri" w:hAnsi="Calibri"/>
          <w:b/>
          <w:color w:val="0F172A"/>
          <w:sz w:val="20"/>
        </w:rPr>
        <w:t xml:space="preserve">• Vector Store: </w:t>
      </w:r>
      <w:r>
        <w:rPr>
          <w:rFonts w:ascii="Calibri" w:hAnsi="Calibri"/>
          <w:color w:val="0F172A"/>
          <w:sz w:val="20"/>
        </w:rPr>
        <w:t>ChromaDB local vector index with metadata filtering (standard, rule_id, severity).</w:t>
      </w:r>
    </w:p>
    <w:p>
      <w:pPr>
        <w:pStyle w:val="ListBullet"/>
        <w:spacing w:before="0" w:after="80" w:line="276" w:lineRule="auto"/>
      </w:pPr>
      <w:r>
        <w:rPr>
          <w:rFonts w:ascii="Calibri" w:hAnsi="Calibri"/>
          <w:b/>
          <w:color w:val="0F172A"/>
          <w:sz w:val="20"/>
        </w:rPr>
        <w:t xml:space="preserve">• Deterministic Rule Engine: </w:t>
      </w:r>
      <w:r>
        <w:rPr>
          <w:rFonts w:ascii="Calibri" w:hAnsi="Calibri"/>
          <w:color w:val="0F172A"/>
          <w:sz w:val="20"/>
        </w:rPr>
        <w:t>Hardcoded regex and AST syntax checkers for MISRA Rules 12.1, 21.3, 16.4, 17.7, 9.1, 11.4, and CERT CON33-C.</w:t>
      </w:r>
    </w:p>
    <w:p>
      <w:pPr>
        <w:pStyle w:val="ListBullet"/>
        <w:spacing w:before="0" w:after="80" w:line="276" w:lineRule="auto"/>
      </w:pPr>
      <w:r>
        <w:rPr>
          <w:rFonts w:ascii="Calibri" w:hAnsi="Calibri"/>
          <w:b/>
          <w:color w:val="0F172A"/>
          <w:sz w:val="20"/>
        </w:rPr>
        <w:t xml:space="preserve">• Local Reasoner: </w:t>
      </w:r>
      <w:r>
        <w:rPr>
          <w:rFonts w:ascii="Calibri" w:hAnsi="Calibri"/>
          <w:color w:val="0F172A"/>
          <w:sz w:val="20"/>
        </w:rPr>
        <w:t>Qwen2.5-Coder-7B-Instruct (4-bit quantized) / High-precision rule synthesis.</w:t>
      </w:r>
    </w:p>
    <w:p>
      <w:pPr>
        <w:pStyle w:val="ListBullet"/>
        <w:spacing w:before="0" w:after="80" w:line="276" w:lineRule="auto"/>
      </w:pPr>
      <w:r>
        <w:rPr>
          <w:rFonts w:ascii="Calibri" w:hAnsi="Calibri"/>
          <w:b/>
          <w:color w:val="0F172A"/>
          <w:sz w:val="20"/>
        </w:rPr>
        <w:t xml:space="preserve">• Cockpit Interface: </w:t>
      </w:r>
      <w:r>
        <w:rPr>
          <w:rFonts w:ascii="Calibri" w:hAnsi="Calibri"/>
          <w:color w:val="0F172A"/>
          <w:sz w:val="20"/>
        </w:rPr>
        <w:t>Modern Enterprise Flask Web Application (Port 5000) with HTML5/CSS3 cockpit, resizable panes, and in-place code replacement.</w:t>
      </w:r>
    </w:p>
    <w:p>
      <w:pPr>
        <w:keepNext/>
        <w:spacing w:before="280" w:after="80"/>
      </w:pPr>
      <w:r>
        <w:rPr>
          <w:rFonts w:ascii="Calibri" w:hAnsi="Calibri"/>
          <w:b/>
          <w:color w:val="002B49"/>
          <w:sz w:val="28"/>
        </w:rPr>
        <w:t>5. System Architecture</w:t>
      </w:r>
    </w:p>
    <w:p>
      <w:pPr>
        <w:jc w:val="center"/>
      </w:pPr>
      <w:r>
        <w:drawing>
          <wp:inline xmlns:a="http://schemas.openxmlformats.org/drawingml/2006/main" xmlns:pic="http://schemas.openxmlformats.org/drawingml/2006/picture">
            <wp:extent cx="6217920" cy="362712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6217920" cy="3627120"/>
                    </a:xfrm>
                    <a:prstGeom prst="rect"/>
                  </pic:spPr>
                </pic:pic>
              </a:graphicData>
            </a:graphic>
          </wp:inline>
        </w:drawing>
      </w:r>
    </w:p>
    <w:p>
      <w:pPr>
        <w:spacing w:before="60" w:after="160"/>
        <w:jc w:val="center"/>
      </w:pPr>
      <w:r>
        <w:rPr>
          <w:i/>
          <w:color w:val="475569"/>
          <w:sz w:val="17"/>
        </w:rPr>
        <w:t>Figure 1: AutoSafe-Review 3-Tier Air-Gapped Architecture (Ingestion, Hybrid Core, and Cockpit Presentation)</w:t>
      </w:r>
    </w:p>
    <w:p>
      <w:pPr>
        <w:keepNext/>
        <w:spacing w:before="280" w:after="80"/>
      </w:pPr>
      <w:r>
        <w:rPr>
          <w:rFonts w:ascii="Calibri" w:hAnsi="Calibri"/>
          <w:b/>
          <w:color w:val="002B49"/>
          <w:sz w:val="28"/>
        </w:rPr>
        <w:t>6. Key Deliverables &amp; Results</w:t>
      </w:r>
    </w:p>
    <w:p>
      <w:pPr>
        <w:pStyle w:val="ListBullet"/>
        <w:spacing w:before="0" w:after="80" w:line="276" w:lineRule="auto"/>
      </w:pPr>
      <w:r>
        <w:rPr>
          <w:rFonts w:ascii="Calibri" w:hAnsi="Calibri"/>
          <w:b/>
          <w:color w:val="0F172A"/>
          <w:sz w:val="20"/>
        </w:rPr>
        <w:t xml:space="preserve">• Deterministic Precision: </w:t>
      </w:r>
      <w:r>
        <w:rPr>
          <w:rFonts w:ascii="Calibri" w:hAnsi="Calibri"/>
          <w:color w:val="0F172A"/>
          <w:sz w:val="20"/>
        </w:rPr>
        <w:t>100.00% precision across 25 automotive benchmark scenarios.</w:t>
      </w:r>
    </w:p>
    <w:p>
      <w:pPr>
        <w:pStyle w:val="ListBullet"/>
        <w:spacing w:before="0" w:after="80" w:line="276" w:lineRule="auto"/>
      </w:pPr>
      <w:r>
        <w:rPr>
          <w:rFonts w:ascii="Calibri" w:hAnsi="Calibri"/>
          <w:b/>
          <w:color w:val="0F172A"/>
          <w:sz w:val="20"/>
        </w:rPr>
        <w:t xml:space="preserve">• Faithfulness &amp; Grounding: </w:t>
      </w:r>
      <w:r>
        <w:rPr>
          <w:rFonts w:ascii="Calibri" w:hAnsi="Calibri"/>
          <w:color w:val="0F172A"/>
          <w:sz w:val="20"/>
        </w:rPr>
        <w:t>100.00% RAG faithfulness with zero hallucinated rule citations.</w:t>
      </w:r>
    </w:p>
    <w:p>
      <w:pPr>
        <w:pStyle w:val="ListBullet"/>
        <w:spacing w:before="0" w:after="80" w:line="276" w:lineRule="auto"/>
      </w:pPr>
      <w:r>
        <w:rPr>
          <w:rFonts w:ascii="Calibri" w:hAnsi="Calibri"/>
          <w:b/>
          <w:color w:val="0F172A"/>
          <w:sz w:val="20"/>
        </w:rPr>
        <w:t xml:space="preserve">• Inference Latency: </w:t>
      </w:r>
      <w:r>
        <w:rPr>
          <w:rFonts w:ascii="Calibri" w:hAnsi="Calibri"/>
          <w:color w:val="0F172A"/>
          <w:sz w:val="20"/>
        </w:rPr>
        <w:t>Mean latency of 0.76 ms per scenario on local hardware.</w:t>
      </w:r>
    </w:p>
    <w:p>
      <w:pPr>
        <w:pStyle w:val="ListBullet"/>
        <w:spacing w:before="0" w:after="80" w:line="276" w:lineRule="auto"/>
      </w:pPr>
      <w:r>
        <w:rPr>
          <w:rFonts w:ascii="Calibri" w:hAnsi="Calibri"/>
          <w:b/>
          <w:color w:val="0F172A"/>
          <w:sz w:val="20"/>
        </w:rPr>
        <w:t xml:space="preserve">• Automated Audit Exports: </w:t>
      </w:r>
      <w:r>
        <w:rPr>
          <w:rFonts w:ascii="Calibri" w:hAnsi="Calibri"/>
          <w:color w:val="0F172A"/>
          <w:sz w:val="20"/>
        </w:rPr>
        <w:t>Instant generation of SARIF v2.1.0, CSV compliance matrices, and signed MISRA Deviation Records.</w:t>
      </w:r>
    </w:p>
    <w:p>
      <w:pPr>
        <w:keepNext/>
        <w:spacing w:before="280" w:after="80"/>
      </w:pPr>
      <w:r>
        <w:rPr>
          <w:rFonts w:ascii="Calibri" w:hAnsi="Calibri"/>
          <w:b/>
          <w:color w:val="002B49"/>
          <w:sz w:val="28"/>
        </w:rPr>
        <w:t>7. Candidate Declaration</w:t>
      </w:r>
    </w:p>
    <w:p>
      <w:pPr>
        <w:spacing w:before="0" w:after="80" w:line="276" w:lineRule="auto"/>
      </w:pPr>
      <w:r>
        <w:rPr>
          <w:rFonts w:ascii="Calibri" w:hAnsi="Calibri"/>
          <w:color w:val="0F172A"/>
          <w:sz w:val="20"/>
        </w:rPr>
        <w:t>I confirm that this synopsis represents my original understanding and technical work for Tata Technologies TechPulse FY-26 Case Study 4. All evaluations are reproducible via local execution scripts.</w:t>
      </w:r>
    </w:p>
    <w:tbl>
      <w:tblPr>
        <w:tblW w:type="auto" w:w="0"/>
        <w:jc w:val="center"/>
        <w:tblLook w:firstColumn="1" w:firstRow="1" w:lastColumn="0" w:lastRow="0" w:noHBand="0" w:noVBand="1" w:val="04A0"/>
        <w:tblBorders>
          <w:top w:val="none" w:sz="4" w:space="0" w:color="CBD5E1"/>
          <w:bottom w:val="none" w:sz="4" w:space="0" w:color="CBD5E1"/>
          <w:insideH w:val="none" w:sz="4" w:space="0" w:color="CBD5E1"/>
          <w:insideV w:val="none" w:sz="4" w:space="0" w:color="CBD5E1"/>
          <w:left w:val="none" w:sz="4" w:space="0" w:color="CBD5E1"/>
          <w:right w:val="none" w:sz="4" w:space="0" w:color="CBD5E1"/>
        </w:tblBorders>
      </w:tblPr>
      <w:tblGrid>
        <w:gridCol w:w="5040"/>
        <w:gridCol w:w="5040"/>
      </w:tblGrid>
      <w:tr>
        <w:tc>
          <w:tcPr>
            <w:tcW w:type="dxa" w:w="5040"/>
          </w:tcPr>
          <w:p>
            <w:pPr>
              <w:spacing w:before="0" w:after="0" w:line="276" w:lineRule="auto"/>
              <w:jc w:val="left"/>
            </w:pPr>
            <w:r/>
            <w:r>
              <w:rPr>
                <w:rFonts w:ascii="Calibri" w:hAnsi="Calibri"/>
                <w:b/>
                <w:color w:val="0F172A"/>
                <w:sz w:val="20"/>
              </w:rPr>
              <w:t>Student Name: Pranav Ravindra Harad</w:t>
            </w:r>
          </w:p>
        </w:tc>
        <w:tc>
          <w:tcPr>
            <w:tcW w:type="dxa" w:w="5040"/>
          </w:tcPr>
          <w:p>
            <w:pPr>
              <w:spacing w:before="0" w:after="0" w:line="276" w:lineRule="auto"/>
              <w:jc w:val="left"/>
            </w:pPr>
            <w:r/>
            <w:r>
              <w:rPr>
                <w:rFonts w:ascii="Calibri" w:hAnsi="Calibri"/>
                <w:b/>
                <w:color w:val="0F172A"/>
                <w:sz w:val="20"/>
              </w:rPr>
              <w:t>Date: October 9, 2026</w:t>
            </w:r>
          </w:p>
        </w:tc>
      </w:tr>
      <w:tr>
        <w:tc>
          <w:tcPr>
            <w:tcW w:type="dxa" w:w="5040"/>
          </w:tcPr>
          <w:p>
            <w:pPr>
              <w:spacing w:before="0" w:after="0" w:line="276" w:lineRule="auto"/>
              <w:jc w:val="left"/>
            </w:pPr>
            <w:r/>
            <w:r>
              <w:rPr>
                <w:rFonts w:ascii="Calibri" w:hAnsi="Calibri"/>
                <w:b/>
                <w:color w:val="0F172A"/>
                <w:sz w:val="20"/>
              </w:rPr>
              <w:t>PRN: 123B1F028</w:t>
            </w:r>
          </w:p>
        </w:tc>
        <w:tc>
          <w:tcPr>
            <w:tcW w:type="dxa" w:w="5040"/>
          </w:tcPr>
          <w:p>
            <w:pPr>
              <w:spacing w:before="0" w:after="0" w:line="276" w:lineRule="auto"/>
              <w:jc w:val="left"/>
            </w:pPr>
            <w:r/>
            <w:r>
              <w:rPr>
                <w:rFonts w:ascii="Calibri" w:hAnsi="Calibri"/>
                <w:b/>
                <w:color w:val="0F172A"/>
                <w:sz w:val="20"/>
              </w:rPr>
              <w:t>Signature: ___________________________</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AutoSafe-Review | Candidate: Pranav Ravindra Harad (123B1F028) | PCCOE, Pune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TATA TECHNOLOGIES LTD. | TECH PULSE FY-26 | PROJECT SYNOPSIS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