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2B49"/>
          <w:sz w:val="32"/>
        </w:rPr>
        <w:t>TATA TECHNOLOGIES TECHPULSE FY-26 | TECHNICAL REPORT</w:t>
      </w:r>
    </w:p>
    <w:p>
      <w:pPr>
        <w:spacing w:before="0" w:after="80"/>
      </w:pPr>
      <w:r>
        <w:rPr>
          <w:rFonts w:ascii="Calibri" w:hAnsi="Calibri"/>
          <w:b/>
          <w:color w:val="00358E"/>
          <w:sz w:val="26"/>
        </w:rPr>
        <w:t>Case Study CS4: Secure Code Debugging and Review Assistant</w:t>
      </w:r>
    </w:p>
    <w:p>
      <w:pPr>
        <w:spacing w:before="0" w:after="160"/>
      </w:pPr>
      <w:r>
        <w:rPr>
          <w:rFonts w:ascii="Calibri" w:hAnsi="Calibri"/>
          <w:i/>
          <w:color w:val="475569"/>
          <w:sz w:val="22"/>
        </w:rPr>
        <w:t>AutoSafe-Review: Air-Gapped, AST-Aware Hybrid Diagnostic &amp; MISRA/ISO 26262 ECU Code Review Assistant</w:t>
      </w:r>
    </w:p>
    <w:p>
      <w:pPr>
        <w:keepNext/>
        <w:spacing w:before="280" w:after="80"/>
      </w:pPr>
      <w:r>
        <w:rPr>
          <w:rFonts w:ascii="Calibri" w:hAnsi="Calibri"/>
          <w:b/>
          <w:color w:val="002B49"/>
          <w:sz w:val="28"/>
        </w:rPr>
        <w:t>1. Metadata &amp; Identification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040"/>
        <w:gridCol w:w="5040"/>
      </w:tblGrid>
      <w:tr>
        <w:tc>
          <w:tcPr>
            <w:tcW w:type="dxa" w:w="3168"/>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Field</w:t>
            </w:r>
          </w:p>
        </w:tc>
        <w:tc>
          <w:tcPr>
            <w:tcW w:type="dxa" w:w="6624"/>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Details</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Institute / University</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Pimpri Chinchwad College of Engineering, Pune (PCCOE)</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Programme / Batch</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B.Tech Artificial Intelligence &amp; Machine Learning / TechPulse FY-26</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Student Name</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Pranav Ravindra Harad</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PRN</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123B1F028</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Case Study ID</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CS4 (Secure Code Debugging and Review Assistant)</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Project Title</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AutoSafe-Review: Air-Gapped, AST-Aware Hybrid Diagnostic &amp; MISRA/ISO 26262 ECU Code Review Assistant</w:t>
            </w:r>
          </w:p>
        </w:tc>
      </w:tr>
    </w:tbl>
    <w:p>
      <w:pPr>
        <w:keepNext/>
        <w:spacing w:before="280" w:after="80"/>
      </w:pPr>
      <w:r>
        <w:rPr>
          <w:rFonts w:ascii="Calibri" w:hAnsi="Calibri"/>
          <w:b/>
          <w:color w:val="002B49"/>
          <w:sz w:val="28"/>
        </w:rPr>
        <w:t>2. Problem Statement &amp; Intended Users</w:t>
      </w:r>
    </w:p>
    <w:p>
      <w:pPr>
        <w:spacing w:before="0" w:after="80" w:line="276" w:lineRule="auto"/>
      </w:pPr>
      <w:r>
        <w:rPr>
          <w:rFonts w:ascii="Calibri" w:hAnsi="Calibri"/>
          <w:color w:val="0F172A"/>
          <w:sz w:val="20"/>
        </w:rPr>
        <w:t>Automotive ECU software engineering teams perform intensive debugging, static analysis triage, MISRA compliance checking, and ISO 26262 functional safety reviews under aggressive vehicle production deadlines. Commercial cloud AI tools (e.g., ChatGPT, Claude) cannot be used due to strict intellectual property confidentiality, cyber-physical safety regulations, and air-gapped automotive security requirements. Furthermore, generic LLMs suffer from severe hallucinations—inventing fictitious rule numbers and proposing non-functional C patches.</w:t>
      </w:r>
    </w:p>
    <w:p>
      <w:pPr>
        <w:spacing w:before="0" w:after="80" w:line="276" w:lineRule="auto"/>
      </w:pPr>
      <w:r>
        <w:rPr>
          <w:rFonts w:ascii="Calibri" w:hAnsi="Calibri"/>
          <w:color w:val="0F172A"/>
          <w:sz w:val="20"/>
        </w:rPr>
        <w:t>AutoSafe-Review delivers an end-to-end, 100% on-premises, air-gapped review workstation tailored specifically for:</w:t>
      </w:r>
    </w:p>
    <w:p>
      <w:pPr>
        <w:pStyle w:val="ListBullet"/>
        <w:spacing w:before="0" w:after="80" w:line="276" w:lineRule="auto"/>
      </w:pPr>
      <w:r>
        <w:rPr>
          <w:rFonts w:ascii="Calibri" w:hAnsi="Calibri"/>
          <w:b/>
          <w:color w:val="0F172A"/>
          <w:sz w:val="20"/>
        </w:rPr>
        <w:t xml:space="preserve">• Embedded Software Developers: </w:t>
      </w:r>
      <w:r>
        <w:rPr>
          <w:rFonts w:ascii="Calibri" w:hAnsi="Calibri"/>
          <w:color w:val="0F172A"/>
          <w:sz w:val="20"/>
        </w:rPr>
        <w:t>Rapidly triage C code defects and understand compiler warning cascades with immediate contextual explanations.</w:t>
      </w:r>
    </w:p>
    <w:p>
      <w:pPr>
        <w:pStyle w:val="ListBullet"/>
        <w:spacing w:before="0" w:after="80" w:line="276" w:lineRule="auto"/>
      </w:pPr>
      <w:r>
        <w:rPr>
          <w:rFonts w:ascii="Calibri" w:hAnsi="Calibri"/>
          <w:b/>
          <w:color w:val="0F172A"/>
          <w:sz w:val="20"/>
        </w:rPr>
        <w:t xml:space="preserve">• Peer Code Reviewers: </w:t>
      </w:r>
      <w:r>
        <w:rPr>
          <w:rFonts w:ascii="Calibri" w:hAnsi="Calibri"/>
          <w:color w:val="0F172A"/>
          <w:sz w:val="20"/>
        </w:rPr>
        <w:t>Visually inspect non-compliant statements and stage approved unified diff patches with real-time in-place code updates.</w:t>
      </w:r>
    </w:p>
    <w:p>
      <w:pPr>
        <w:pStyle w:val="ListBullet"/>
        <w:spacing w:before="0" w:after="80" w:line="276" w:lineRule="auto"/>
      </w:pPr>
      <w:r>
        <w:rPr>
          <w:rFonts w:ascii="Calibri" w:hAnsi="Calibri"/>
          <w:b/>
          <w:color w:val="0F172A"/>
          <w:sz w:val="20"/>
        </w:rPr>
        <w:t xml:space="preserve">• Quality Assurance &amp; Safety Leads: </w:t>
      </w:r>
      <w:r>
        <w:rPr>
          <w:rFonts w:ascii="Calibri" w:hAnsi="Calibri"/>
          <w:color w:val="0F172A"/>
          <w:sz w:val="20"/>
        </w:rPr>
        <w:t>Generate signed MISRA deviation records and export standard SARIF and CSV compliance matrices for CI/CD pipelines.</w:t>
      </w:r>
    </w:p>
    <w:p>
      <w:pPr>
        <w:keepNext/>
        <w:spacing w:before="280" w:after="80"/>
      </w:pPr>
      <w:r>
        <w:rPr>
          <w:rFonts w:ascii="Calibri" w:hAnsi="Calibri"/>
          <w:b/>
          <w:color w:val="002B49"/>
          <w:sz w:val="28"/>
        </w:rPr>
        <w:t>3. Input Data &amp; Knowledge Base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040"/>
        <w:gridCol w:w="5040"/>
      </w:tblGrid>
      <w:tr>
        <w:tc>
          <w:tcPr>
            <w:tcW w:type="dxa" w:w="3168"/>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Item</w:t>
            </w:r>
          </w:p>
        </w:tc>
        <w:tc>
          <w:tcPr>
            <w:tcW w:type="dxa" w:w="6624"/>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Description</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Sources</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MISRA C:2012 Guidelines, SEI CERT C Coding Standards, ISO 26262:2018 Part 6, Synthetic Automotive ECU source modules (bms_cell_monitor.c, throttle_actuator_driver.c, can_transceiver.c), ARM GCC build logs, OASIS SARIF v2.1.0 reports.</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Size &amp; Format</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17 Curated JSON rule definitions (12 KB), 6 C/C++ source/header files (8.5 KB), GCC build logs (2.1 KB), and OASIS SARIF v2.1.0 JSON (2.9 KB).</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Preprocessing</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AST semantic chunking into complete function scopes, caller-callee relationship extraction, and compiler warning-to-line regex mapping.</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Chunking Strategy</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Semantic Function-Aware AST Chunking: Code is partitioned along functional boundaries, Interrupt Service Routine (ISR) blocks, and global scopes to retain call-graph integrity.</w:t>
            </w:r>
          </w:p>
        </w:tc>
      </w:tr>
    </w:tbl>
    <w:p>
      <w:pPr>
        <w:keepNext/>
        <w:spacing w:before="280" w:after="80"/>
      </w:pPr>
      <w:r>
        <w:rPr>
          <w:rFonts w:ascii="Calibri" w:hAnsi="Calibri"/>
          <w:b/>
          <w:color w:val="002B49"/>
          <w:sz w:val="28"/>
        </w:rPr>
        <w:t>4. Solution Architecture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040"/>
        <w:gridCol w:w="5040"/>
      </w:tblGrid>
      <w:tr>
        <w:tc>
          <w:tcPr>
            <w:tcW w:type="dxa" w:w="3168"/>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Component</w:t>
            </w:r>
          </w:p>
        </w:tc>
        <w:tc>
          <w:tcPr>
            <w:tcW w:type="dxa" w:w="6624"/>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Choice &amp; Implementation</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Pre-trained Model</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Qwen2.5-Coder-7B-Instruct (4-bit quantized) / High-precision local deterministic semantic reasoner. Hosted 100% on-premises on local GPU/CPU hardware.</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Embedding Model</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BAAI/bge-small-en-v1.5 / dense TF-IDF n-gram vectorizer (384 dimensions, Cosine Similarity).</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Vector Store</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ChromaDB local vector index with metadata filters (standard, rule_id, severity).</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RAG Pipeline</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Hybrid Tri-Engine: AST code chunking + Deterministic static checking + Vector RAG rule retrieval with anti-hallucination citation guardrails.</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Service Layer &amp; UI</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Enterprise Flask Web Application (Port 5000) styled to official Tata Technologies enterprise design standards with HTML5/CSS3 cockpit, resizable draggable panes, custom module loader, and real-time in-place code patching.</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Deterministic Rules</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Hardcoded regex and AST syntax checkers for MISRA Rules 12.1, 21.3, 16.4, 17.7, 9.1, 11.4, and CERT CON33-C.</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Production Deployment</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Waitress Multi-Threaded WSGI Server (Port 5000) / Air-Gapped Docker Container (docker-compose) / Automated GitHub Actions CI/CD Pipeline exporting OASIS SARIF v2.1.0.</w:t>
            </w:r>
          </w:p>
        </w:tc>
      </w:tr>
    </w:tbl>
    <w:p>
      <w:r>
        <w:br w:type="page"/>
      </w:r>
    </w:p>
    <w:p>
      <w:pPr>
        <w:keepNext/>
        <w:spacing w:before="200" w:after="60"/>
      </w:pPr>
      <w:r>
        <w:rPr>
          <w:rFonts w:ascii="Calibri" w:hAnsi="Calibri"/>
          <w:b/>
          <w:color w:val="00358E"/>
          <w:sz w:val="24"/>
        </w:rPr>
        <w:t>System Architecture Diagram</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217920" cy="3627120"/>
                    </a:xfrm>
                    <a:prstGeom prst="rect"/>
                  </pic:spPr>
                </pic:pic>
              </a:graphicData>
            </a:graphic>
          </wp:inline>
        </w:drawing>
      </w:r>
    </w:p>
    <w:p>
      <w:pPr>
        <w:spacing w:before="60" w:after="160"/>
        <w:jc w:val="center"/>
      </w:pPr>
      <w:r>
        <w:rPr>
          <w:i/>
          <w:color w:val="475569"/>
          <w:sz w:val="17"/>
        </w:rPr>
        <w:t>Figure 1: High-Fidelity 3-Tier Hybrid Architecture (Ingestion, Hybrid Core, Presentation Layer)</w:t>
      </w:r>
    </w:p>
    <w:p>
      <w:pPr>
        <w:keepNext/>
        <w:spacing w:before="280" w:after="80"/>
      </w:pPr>
      <w:r>
        <w:rPr>
          <w:rFonts w:ascii="Calibri" w:hAnsi="Calibri"/>
          <w:b/>
          <w:color w:val="002B49"/>
          <w:sz w:val="28"/>
        </w:rPr>
        <w:t>5. Implementation Workflow</w:t>
      </w:r>
    </w:p>
    <w:p>
      <w:pPr>
        <w:spacing w:before="0" w:after="80" w:line="276" w:lineRule="auto"/>
      </w:pPr>
      <w:r>
        <w:rPr>
          <w:rFonts w:ascii="Calibri" w:hAnsi="Calibri"/>
          <w:color w:val="0F172A"/>
          <w:sz w:val="20"/>
        </w:rPr>
        <w:t>The AutoSafe-Review workflow operates across 5 systematic, synchronized stages:</w:t>
      </w:r>
    </w:p>
    <w:p>
      <w:pPr>
        <w:spacing w:before="0" w:after="80" w:line="276" w:lineRule="auto"/>
      </w:pPr>
      <w:r>
        <w:rPr>
          <w:rFonts w:ascii="Calibri" w:hAnsi="Calibri"/>
          <w:b/>
          <w:color w:val="0F172A"/>
          <w:sz w:val="20"/>
        </w:rPr>
        <w:t xml:space="preserve">1. Multi-Modal Ingestion: </w:t>
      </w:r>
      <w:r>
        <w:rPr>
          <w:rFonts w:ascii="Calibri" w:hAnsi="Calibri"/>
          <w:color w:val="0F172A"/>
          <w:sz w:val="20"/>
        </w:rPr>
        <w:t>Source code, compiler warning streams, and SARIF static analysis reports are ingested simultaneously.</w:t>
      </w:r>
    </w:p>
    <w:p>
      <w:pPr>
        <w:spacing w:before="0" w:after="80" w:line="276" w:lineRule="auto"/>
      </w:pPr>
      <w:r>
        <w:rPr>
          <w:rFonts w:ascii="Calibri" w:hAnsi="Calibri"/>
          <w:b/>
          <w:color w:val="0F172A"/>
          <w:sz w:val="20"/>
        </w:rPr>
        <w:t xml:space="preserve">2. AST Chunking: </w:t>
      </w:r>
      <w:r>
        <w:rPr>
          <w:rFonts w:ascii="Calibri" w:hAnsi="Calibri"/>
          <w:color w:val="0F172A"/>
          <w:sz w:val="20"/>
        </w:rPr>
        <w:t>Source code is tokenized and partitioned into semantic function units preserving Interrupt Service Routines (ISRs) and call graphs.</w:t>
      </w:r>
    </w:p>
    <w:p>
      <w:pPr>
        <w:spacing w:before="0" w:after="80" w:line="276" w:lineRule="auto"/>
      </w:pPr>
      <w:r>
        <w:rPr>
          <w:rFonts w:ascii="Calibri" w:hAnsi="Calibri"/>
          <w:b/>
          <w:color w:val="0F172A"/>
          <w:sz w:val="20"/>
        </w:rPr>
        <w:t xml:space="preserve">3. Dual Triage: </w:t>
      </w:r>
      <w:r>
        <w:rPr>
          <w:rFonts w:ascii="Calibri" w:hAnsi="Calibri"/>
          <w:color w:val="0F172A"/>
          <w:sz w:val="20"/>
        </w:rPr>
        <w:t>Hard syntactic violations are flagged by deterministic rule checkers with 100% precision, while complex semantic patterns query the ChromaDB vector store (top_k=3, threshold=0.15) for official standard rationales.</w:t>
      </w:r>
    </w:p>
    <w:p>
      <w:pPr>
        <w:spacing w:before="0" w:after="80" w:line="276" w:lineRule="auto"/>
      </w:pPr>
      <w:r>
        <w:rPr>
          <w:rFonts w:ascii="Calibri" w:hAnsi="Calibri"/>
          <w:b/>
          <w:color w:val="0F172A"/>
          <w:sz w:val="20"/>
        </w:rPr>
        <w:t xml:space="preserve">4. Synthesis: </w:t>
      </w:r>
      <w:r>
        <w:rPr>
          <w:rFonts w:ascii="Calibri" w:hAnsi="Calibri"/>
          <w:color w:val="0F172A"/>
          <w:sz w:val="20"/>
        </w:rPr>
        <w:t>Local LLM synthesizes structured findings with ISO 26262 ASIL safety consequences and color-coded unified diff fixes (- original / + fixed).</w:t>
      </w:r>
    </w:p>
    <w:p>
      <w:pPr>
        <w:spacing w:before="0" w:after="80" w:line="276" w:lineRule="auto"/>
      </w:pPr>
      <w:r>
        <w:rPr>
          <w:rFonts w:ascii="Calibri" w:hAnsi="Calibri"/>
          <w:b/>
          <w:color w:val="0F172A"/>
          <w:sz w:val="20"/>
        </w:rPr>
        <w:t xml:space="preserve">5. Human Disposition: </w:t>
      </w:r>
      <w:r>
        <w:rPr>
          <w:rFonts w:ascii="Calibri" w:hAnsi="Calibri"/>
          <w:color w:val="0F172A"/>
          <w:sz w:val="20"/>
        </w:rPr>
        <w:t>Engineers interact via three explicit actions: (a) Accept Remediation (physically updates code in-place to green patch), (b) Dismiss (marks false positive or documented design), and (c) Request Deviation (generates formal signed MISRA Deviation Permit).</w:t>
      </w:r>
    </w:p>
    <w:p>
      <w:pPr>
        <w:keepNext/>
        <w:spacing w:before="200" w:after="60"/>
      </w:pPr>
      <w:r>
        <w:rPr>
          <w:rFonts w:ascii="Calibri" w:hAnsi="Calibri"/>
          <w:b/>
          <w:color w:val="00358E"/>
          <w:sz w:val="24"/>
        </w:rPr>
        <w:t>System Workflow &amp; Human-in-the-Loop Pipeline</w:t>
      </w:r>
    </w:p>
    <w:p>
      <w:pPr>
        <w:jc w:val="center"/>
      </w:pPr>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2"/>
                    <a:stretch>
                      <a:fillRect/>
                    </a:stretch>
                  </pic:blipFill>
                  <pic:spPr>
                    <a:xfrm>
                      <a:off x="0" y="0"/>
                      <a:ext cx="6217920" cy="3108960"/>
                    </a:xfrm>
                    <a:prstGeom prst="rect"/>
                  </pic:spPr>
                </pic:pic>
              </a:graphicData>
            </a:graphic>
          </wp:inline>
        </w:drawing>
      </w:r>
    </w:p>
    <w:p>
      <w:pPr>
        <w:spacing w:before="60" w:after="160"/>
        <w:jc w:val="center"/>
      </w:pPr>
      <w:r>
        <w:rPr>
          <w:i/>
          <w:color w:val="475569"/>
          <w:sz w:val="17"/>
        </w:rPr>
        <w:t>Figure 2: End-to-End Triage, Vector Retrieval, Synthesis, and In-Place Code Remediation Workflow</w:t>
      </w:r>
    </w:p>
    <w:p>
      <w:pPr>
        <w:keepNext/>
        <w:spacing w:before="280" w:after="80"/>
      </w:pPr>
      <w:r>
        <w:rPr>
          <w:rFonts w:ascii="Calibri" w:hAnsi="Calibri"/>
          <w:b/>
          <w:color w:val="002B49"/>
          <w:sz w:val="28"/>
        </w:rPr>
        <w:t>6. Evaluation Steps &amp; Results</w:t>
      </w:r>
    </w:p>
    <w:p>
      <w:pPr>
        <w:spacing w:before="0" w:after="80" w:line="276" w:lineRule="auto"/>
      </w:pPr>
      <w:r>
        <w:rPr>
          <w:rFonts w:ascii="Calibri" w:hAnsi="Calibri"/>
          <w:color w:val="0F172A"/>
          <w:sz w:val="20"/>
        </w:rPr>
        <w:t>The system was evaluated against a rigorous ground-truth automotive test suite comprising 25 real-world ECU test scenarios covering BMS cell monitoring, ABS actuator control, and CAN communications.</w:t>
      </w:r>
    </w:p>
    <w:p>
      <w:pPr>
        <w:keepNext/>
        <w:spacing w:before="200" w:after="60"/>
      </w:pPr>
      <w:r>
        <w:rPr>
          <w:rFonts w:ascii="Calibri" w:hAnsi="Calibri"/>
          <w:b/>
          <w:color w:val="00358E"/>
          <w:sz w:val="24"/>
        </w:rPr>
        <w:t>Automotive Test Scenarios Verification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80"/>
        <w:gridCol w:w="1680"/>
        <w:gridCol w:w="1680"/>
        <w:gridCol w:w="1680"/>
        <w:gridCol w:w="1680"/>
        <w:gridCol w:w="1680"/>
      </w:tblGrid>
      <w:tr>
        <w:tc>
          <w:tcPr>
            <w:tcW w:type="dxa" w:w="576"/>
            <w:shd w:fill="E2E8F0"/>
            <w:tcMar>
              <w:top w:w="80" w:type="dxa"/>
              <w:bottom w:w="80" w:type="dxa"/>
              <w:left w:w="100" w:type="dxa"/>
              <w:right w:w="100" w:type="dxa"/>
            </w:tcMar>
          </w:tcPr>
          <w:p>
            <w:pPr>
              <w:spacing w:before="0" w:after="0" w:line="276" w:lineRule="auto"/>
              <w:jc w:val="left"/>
            </w:pPr>
            <w:r/>
            <w:r>
              <w:rPr>
                <w:rFonts w:ascii="Calibri" w:hAnsi="Calibri"/>
                <w:b/>
                <w:color w:val="002B49"/>
                <w:sz w:val="18"/>
              </w:rPr>
              <w:t>#</w:t>
            </w:r>
          </w:p>
        </w:tc>
        <w:tc>
          <w:tcPr>
            <w:tcW w:type="dxa" w:w="2304"/>
            <w:shd w:fill="E2E8F0"/>
            <w:tcMar>
              <w:top w:w="80" w:type="dxa"/>
              <w:bottom w:w="80" w:type="dxa"/>
              <w:left w:w="100" w:type="dxa"/>
              <w:right w:w="100" w:type="dxa"/>
            </w:tcMar>
          </w:tcPr>
          <w:p>
            <w:pPr>
              <w:spacing w:before="0" w:after="0" w:line="276" w:lineRule="auto"/>
              <w:jc w:val="left"/>
            </w:pPr>
            <w:r/>
            <w:r>
              <w:rPr>
                <w:rFonts w:ascii="Calibri" w:hAnsi="Calibri"/>
                <w:b/>
                <w:color w:val="002B49"/>
                <w:sz w:val="18"/>
              </w:rPr>
              <w:t>Test Scenario</w:t>
            </w:r>
          </w:p>
        </w:tc>
        <w:tc>
          <w:tcPr>
            <w:tcW w:type="dxa" w:w="2016"/>
            <w:shd w:fill="E2E8F0"/>
            <w:tcMar>
              <w:top w:w="80" w:type="dxa"/>
              <w:bottom w:w="80" w:type="dxa"/>
              <w:left w:w="100" w:type="dxa"/>
              <w:right w:w="100" w:type="dxa"/>
            </w:tcMar>
          </w:tcPr>
          <w:p>
            <w:pPr>
              <w:spacing w:before="0" w:after="0" w:line="276" w:lineRule="auto"/>
              <w:jc w:val="left"/>
            </w:pPr>
            <w:r/>
            <w:r>
              <w:rPr>
                <w:rFonts w:ascii="Calibri" w:hAnsi="Calibri"/>
                <w:b/>
                <w:color w:val="002B49"/>
                <w:sz w:val="18"/>
              </w:rPr>
              <w:t>Target File &amp; Line</w:t>
            </w:r>
          </w:p>
        </w:tc>
        <w:tc>
          <w:tcPr>
            <w:tcW w:type="dxa" w:w="1728"/>
            <w:shd w:fill="E2E8F0"/>
            <w:tcMar>
              <w:top w:w="80" w:type="dxa"/>
              <w:bottom w:w="80" w:type="dxa"/>
              <w:left w:w="100" w:type="dxa"/>
              <w:right w:w="100" w:type="dxa"/>
            </w:tcMar>
          </w:tcPr>
          <w:p>
            <w:pPr>
              <w:spacing w:before="0" w:after="0" w:line="276" w:lineRule="auto"/>
              <w:jc w:val="left"/>
            </w:pPr>
            <w:r/>
            <w:r>
              <w:rPr>
                <w:rFonts w:ascii="Calibri" w:hAnsi="Calibri"/>
                <w:b/>
                <w:color w:val="002B49"/>
                <w:sz w:val="18"/>
              </w:rPr>
              <w:t>Citation</w:t>
            </w:r>
          </w:p>
        </w:tc>
        <w:tc>
          <w:tcPr>
            <w:tcW w:type="dxa" w:w="1872"/>
            <w:shd w:fill="E2E8F0"/>
            <w:tcMar>
              <w:top w:w="80" w:type="dxa"/>
              <w:bottom w:w="80" w:type="dxa"/>
              <w:left w:w="100" w:type="dxa"/>
              <w:right w:w="100" w:type="dxa"/>
            </w:tcMar>
          </w:tcPr>
          <w:p>
            <w:pPr>
              <w:spacing w:before="0" w:after="0" w:line="276" w:lineRule="auto"/>
              <w:jc w:val="left"/>
            </w:pPr>
            <w:r/>
            <w:r>
              <w:rPr>
                <w:rFonts w:ascii="Calibri" w:hAnsi="Calibri"/>
                <w:b/>
                <w:color w:val="002B49"/>
                <w:sz w:val="18"/>
              </w:rPr>
              <w:t>Expected Result</w:t>
            </w:r>
          </w:p>
        </w:tc>
        <w:tc>
          <w:tcPr>
            <w:tcW w:type="dxa" w:w="1296"/>
            <w:shd w:fill="E2E8F0"/>
            <w:tcMar>
              <w:top w:w="80" w:type="dxa"/>
              <w:bottom w:w="80" w:type="dxa"/>
              <w:left w:w="100" w:type="dxa"/>
              <w:right w:w="100" w:type="dxa"/>
            </w:tcMar>
          </w:tcPr>
          <w:p>
            <w:pPr>
              <w:spacing w:before="0" w:after="0" w:line="276" w:lineRule="auto"/>
              <w:jc w:val="left"/>
            </w:pPr>
            <w:r/>
            <w:r>
              <w:rPr>
                <w:rFonts w:ascii="Calibri" w:hAnsi="Calibri"/>
                <w:b/>
                <w:color w:val="002B49"/>
                <w:sz w:val="18"/>
              </w:rPr>
              <w:t>Actual Result</w:t>
            </w:r>
          </w:p>
        </w:tc>
      </w:tr>
      <w:tr>
        <w:tc>
          <w:tcPr>
            <w:tcW w:type="dxa" w:w="576"/>
            <w:shd w:fill="F8FAFC"/>
            <w:tcMar>
              <w:top w:w="80" w:type="dxa"/>
              <w:bottom w:w="80" w:type="dxa"/>
              <w:left w:w="100" w:type="dxa"/>
              <w:right w:w="100" w:type="dxa"/>
            </w:tcMar>
          </w:tcPr>
          <w:p>
            <w:pPr>
              <w:spacing w:before="0" w:after="0" w:line="276" w:lineRule="auto"/>
              <w:jc w:val="left"/>
            </w:pPr>
            <w:r/>
            <w:r>
              <w:rPr>
                <w:rFonts w:ascii="Calibri" w:hAnsi="Calibri"/>
                <w:b/>
                <w:color w:val="0F172A"/>
                <w:sz w:val="17"/>
              </w:rPr>
              <w:t>1</w:t>
            </w:r>
          </w:p>
        </w:tc>
        <w:tc>
          <w:tcPr>
            <w:tcW w:type="dxa" w:w="2304"/>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Operator Precedence Ambiguity</w:t>
            </w:r>
          </w:p>
        </w:tc>
        <w:tc>
          <w:tcPr>
            <w:tcW w:type="dxa" w:w="2016"/>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bms_cell_monitor.c (Line 30)</w:t>
            </w:r>
          </w:p>
        </w:tc>
        <w:tc>
          <w:tcPr>
            <w:tcW w:type="dxa" w:w="1728"/>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MISRA C:2012 Rule 12.1</w:t>
            </w:r>
          </w:p>
        </w:tc>
        <w:tc>
          <w:tcPr>
            <w:tcW w:type="dxa" w:w="1872"/>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Parenthesized bitwise expression</w:t>
            </w:r>
          </w:p>
        </w:tc>
        <w:tc>
          <w:tcPr>
            <w:tcW w:type="dxa" w:w="1296"/>
            <w:shd w:fill="F8FAFC"/>
            <w:tcMar>
              <w:top w:w="80" w:type="dxa"/>
              <w:bottom w:w="80" w:type="dxa"/>
              <w:left w:w="100" w:type="dxa"/>
              <w:right w:w="100" w:type="dxa"/>
            </w:tcMar>
          </w:tcPr>
          <w:p>
            <w:pPr>
              <w:spacing w:before="0" w:after="0" w:line="276" w:lineRule="auto"/>
              <w:jc w:val="left"/>
            </w:pPr>
            <w:r/>
            <w:r>
              <w:rPr>
                <w:rFonts w:ascii="Calibri" w:hAnsi="Calibri"/>
                <w:b/>
                <w:color w:val="059669"/>
                <w:sz w:val="17"/>
              </w:rPr>
              <w:t>PASS (1.8 ms)</w:t>
            </w:r>
          </w:p>
        </w:tc>
      </w:tr>
      <w:tr>
        <w:tc>
          <w:tcPr>
            <w:tcW w:type="dxa" w:w="576"/>
            <w:tcMar>
              <w:top w:w="80" w:type="dxa"/>
              <w:bottom w:w="80" w:type="dxa"/>
              <w:left w:w="100" w:type="dxa"/>
              <w:right w:w="100" w:type="dxa"/>
            </w:tcMar>
          </w:tcPr>
          <w:p>
            <w:pPr>
              <w:spacing w:before="0" w:after="0" w:line="276" w:lineRule="auto"/>
              <w:jc w:val="left"/>
            </w:pPr>
            <w:r/>
            <w:r>
              <w:rPr>
                <w:rFonts w:ascii="Calibri" w:hAnsi="Calibri"/>
                <w:b/>
                <w:color w:val="0F172A"/>
                <w:sz w:val="17"/>
              </w:rPr>
              <w:t>2</w:t>
            </w:r>
          </w:p>
        </w:tc>
        <w:tc>
          <w:tcPr>
            <w:tcW w:type="dxa" w:w="2304"/>
            <w:tcMar>
              <w:top w:w="80" w:type="dxa"/>
              <w:bottom w:w="80" w:type="dxa"/>
              <w:left w:w="100" w:type="dxa"/>
              <w:right w:w="100" w:type="dxa"/>
            </w:tcMar>
          </w:tcPr>
          <w:p>
            <w:pPr>
              <w:spacing w:before="0" w:after="0" w:line="276" w:lineRule="auto"/>
              <w:jc w:val="left"/>
            </w:pPr>
            <w:r/>
            <w:r>
              <w:rPr>
                <w:rFonts w:ascii="Calibri" w:hAnsi="Calibri"/>
                <w:b w:val="0"/>
                <w:color w:val="0F172A"/>
                <w:sz w:val="17"/>
              </w:rPr>
              <w:t>Missing Array Upper Bound Check</w:t>
            </w:r>
          </w:p>
        </w:tc>
        <w:tc>
          <w:tcPr>
            <w:tcW w:type="dxa" w:w="2016"/>
            <w:tcMar>
              <w:top w:w="80" w:type="dxa"/>
              <w:bottom w:w="80" w:type="dxa"/>
              <w:left w:w="100" w:type="dxa"/>
              <w:right w:w="100" w:type="dxa"/>
            </w:tcMar>
          </w:tcPr>
          <w:p>
            <w:pPr>
              <w:spacing w:before="0" w:after="0" w:line="276" w:lineRule="auto"/>
              <w:jc w:val="left"/>
            </w:pPr>
            <w:r/>
            <w:r>
              <w:rPr>
                <w:rFonts w:ascii="Calibri" w:hAnsi="Calibri"/>
                <w:b w:val="0"/>
                <w:color w:val="0F172A"/>
                <w:sz w:val="17"/>
              </w:rPr>
              <w:t>bms_cell_monitor.c (Line 42)</w:t>
            </w:r>
          </w:p>
        </w:tc>
        <w:tc>
          <w:tcPr>
            <w:tcW w:type="dxa" w:w="1728"/>
            <w:tcMar>
              <w:top w:w="80" w:type="dxa"/>
              <w:bottom w:w="80" w:type="dxa"/>
              <w:left w:w="100" w:type="dxa"/>
              <w:right w:w="100" w:type="dxa"/>
            </w:tcMar>
          </w:tcPr>
          <w:p>
            <w:pPr>
              <w:spacing w:before="0" w:after="0" w:line="276" w:lineRule="auto"/>
              <w:jc w:val="left"/>
            </w:pPr>
            <w:r/>
            <w:r>
              <w:rPr>
                <w:rFonts w:ascii="Calibri" w:hAnsi="Calibri"/>
                <w:b w:val="0"/>
                <w:color w:val="0F172A"/>
                <w:sz w:val="17"/>
              </w:rPr>
              <w:t>CERT-C ARR30-C</w:t>
            </w:r>
          </w:p>
        </w:tc>
        <w:tc>
          <w:tcPr>
            <w:tcW w:type="dxa" w:w="1872"/>
            <w:tcMar>
              <w:top w:w="80" w:type="dxa"/>
              <w:bottom w:w="80" w:type="dxa"/>
              <w:left w:w="100" w:type="dxa"/>
              <w:right w:w="100" w:type="dxa"/>
            </w:tcMar>
          </w:tcPr>
          <w:p>
            <w:pPr>
              <w:spacing w:before="0" w:after="0" w:line="276" w:lineRule="auto"/>
              <w:jc w:val="left"/>
            </w:pPr>
            <w:r/>
            <w:r>
              <w:rPr>
                <w:rFonts w:ascii="Calibri" w:hAnsi="Calibri"/>
                <w:b w:val="0"/>
                <w:color w:val="0F172A"/>
                <w:sz w:val="17"/>
              </w:rPr>
              <w:t>Bounds check before indexing</w:t>
            </w:r>
          </w:p>
        </w:tc>
        <w:tc>
          <w:tcPr>
            <w:tcW w:type="dxa" w:w="1296"/>
            <w:tcMar>
              <w:top w:w="80" w:type="dxa"/>
              <w:bottom w:w="80" w:type="dxa"/>
              <w:left w:w="100" w:type="dxa"/>
              <w:right w:w="100" w:type="dxa"/>
            </w:tcMar>
          </w:tcPr>
          <w:p>
            <w:pPr>
              <w:spacing w:before="0" w:after="0" w:line="276" w:lineRule="auto"/>
              <w:jc w:val="left"/>
            </w:pPr>
            <w:r/>
            <w:r>
              <w:rPr>
                <w:rFonts w:ascii="Calibri" w:hAnsi="Calibri"/>
                <w:b/>
                <w:color w:val="059669"/>
                <w:sz w:val="17"/>
              </w:rPr>
              <w:t>PASS (0.8 ms)</w:t>
            </w:r>
          </w:p>
        </w:tc>
      </w:tr>
      <w:tr>
        <w:tc>
          <w:tcPr>
            <w:tcW w:type="dxa" w:w="576"/>
            <w:shd w:fill="F8FAFC"/>
            <w:tcMar>
              <w:top w:w="80" w:type="dxa"/>
              <w:bottom w:w="80" w:type="dxa"/>
              <w:left w:w="100" w:type="dxa"/>
              <w:right w:w="100" w:type="dxa"/>
            </w:tcMar>
          </w:tcPr>
          <w:p>
            <w:pPr>
              <w:spacing w:before="0" w:after="0" w:line="276" w:lineRule="auto"/>
              <w:jc w:val="left"/>
            </w:pPr>
            <w:r/>
            <w:r>
              <w:rPr>
                <w:rFonts w:ascii="Calibri" w:hAnsi="Calibri"/>
                <w:b/>
                <w:color w:val="0F172A"/>
                <w:sz w:val="17"/>
              </w:rPr>
              <w:t>3</w:t>
            </w:r>
          </w:p>
        </w:tc>
        <w:tc>
          <w:tcPr>
            <w:tcW w:type="dxa" w:w="2304"/>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State Machine Missing Default</w:t>
            </w:r>
          </w:p>
        </w:tc>
        <w:tc>
          <w:tcPr>
            <w:tcW w:type="dxa" w:w="2016"/>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bms_cell_monitor.c (Line 60)</w:t>
            </w:r>
          </w:p>
        </w:tc>
        <w:tc>
          <w:tcPr>
            <w:tcW w:type="dxa" w:w="1728"/>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MISRA C:2012 Rule 16.4</w:t>
            </w:r>
          </w:p>
        </w:tc>
        <w:tc>
          <w:tcPr>
            <w:tcW w:type="dxa" w:w="1872"/>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Add safe-state default case</w:t>
            </w:r>
          </w:p>
        </w:tc>
        <w:tc>
          <w:tcPr>
            <w:tcW w:type="dxa" w:w="1296"/>
            <w:shd w:fill="F8FAFC"/>
            <w:tcMar>
              <w:top w:w="80" w:type="dxa"/>
              <w:bottom w:w="80" w:type="dxa"/>
              <w:left w:w="100" w:type="dxa"/>
              <w:right w:w="100" w:type="dxa"/>
            </w:tcMar>
          </w:tcPr>
          <w:p>
            <w:pPr>
              <w:spacing w:before="0" w:after="0" w:line="276" w:lineRule="auto"/>
              <w:jc w:val="left"/>
            </w:pPr>
            <w:r/>
            <w:r>
              <w:rPr>
                <w:rFonts w:ascii="Calibri" w:hAnsi="Calibri"/>
                <w:b/>
                <w:color w:val="059669"/>
                <w:sz w:val="17"/>
              </w:rPr>
              <w:t>PASS (0.7 ms)</w:t>
            </w:r>
          </w:p>
        </w:tc>
      </w:tr>
      <w:tr>
        <w:tc>
          <w:tcPr>
            <w:tcW w:type="dxa" w:w="576"/>
            <w:tcMar>
              <w:top w:w="80" w:type="dxa"/>
              <w:bottom w:w="80" w:type="dxa"/>
              <w:left w:w="100" w:type="dxa"/>
              <w:right w:w="100" w:type="dxa"/>
            </w:tcMar>
          </w:tcPr>
          <w:p>
            <w:pPr>
              <w:spacing w:before="0" w:after="0" w:line="276" w:lineRule="auto"/>
              <w:jc w:val="left"/>
            </w:pPr>
            <w:r/>
            <w:r>
              <w:rPr>
                <w:rFonts w:ascii="Calibri" w:hAnsi="Calibri"/>
                <w:b/>
                <w:color w:val="0F172A"/>
                <w:sz w:val="17"/>
              </w:rPr>
              <w:t>4</w:t>
            </w:r>
          </w:p>
        </w:tc>
        <w:tc>
          <w:tcPr>
            <w:tcW w:type="dxa" w:w="2304"/>
            <w:tcMar>
              <w:top w:w="80" w:type="dxa"/>
              <w:bottom w:w="80" w:type="dxa"/>
              <w:left w:w="100" w:type="dxa"/>
              <w:right w:w="100" w:type="dxa"/>
            </w:tcMar>
          </w:tcPr>
          <w:p>
            <w:pPr>
              <w:spacing w:before="0" w:after="0" w:line="276" w:lineRule="auto"/>
              <w:jc w:val="left"/>
            </w:pPr>
            <w:r/>
            <w:r>
              <w:rPr>
                <w:rFonts w:ascii="Calibri" w:hAnsi="Calibri"/>
                <w:b w:val="0"/>
                <w:color w:val="0F172A"/>
                <w:sz w:val="17"/>
              </w:rPr>
              <w:t>Discarded Return Value</w:t>
            </w:r>
          </w:p>
        </w:tc>
        <w:tc>
          <w:tcPr>
            <w:tcW w:type="dxa" w:w="2016"/>
            <w:tcMar>
              <w:top w:w="80" w:type="dxa"/>
              <w:bottom w:w="80" w:type="dxa"/>
              <w:left w:w="100" w:type="dxa"/>
              <w:right w:w="100" w:type="dxa"/>
            </w:tcMar>
          </w:tcPr>
          <w:p>
            <w:pPr>
              <w:spacing w:before="0" w:after="0" w:line="276" w:lineRule="auto"/>
              <w:jc w:val="left"/>
            </w:pPr>
            <w:r/>
            <w:r>
              <w:rPr>
                <w:rFonts w:ascii="Calibri" w:hAnsi="Calibri"/>
                <w:b w:val="0"/>
                <w:color w:val="0F172A"/>
                <w:sz w:val="17"/>
              </w:rPr>
              <w:t>bms_cell_monitor.c (Line 82)</w:t>
            </w:r>
          </w:p>
        </w:tc>
        <w:tc>
          <w:tcPr>
            <w:tcW w:type="dxa" w:w="1728"/>
            <w:tcMar>
              <w:top w:w="80" w:type="dxa"/>
              <w:bottom w:w="80" w:type="dxa"/>
              <w:left w:w="100" w:type="dxa"/>
              <w:right w:w="100" w:type="dxa"/>
            </w:tcMar>
          </w:tcPr>
          <w:p>
            <w:pPr>
              <w:spacing w:before="0" w:after="0" w:line="276" w:lineRule="auto"/>
              <w:jc w:val="left"/>
            </w:pPr>
            <w:r/>
            <w:r>
              <w:rPr>
                <w:rFonts w:ascii="Calibri" w:hAnsi="Calibri"/>
                <w:b w:val="0"/>
                <w:color w:val="0F172A"/>
                <w:sz w:val="17"/>
              </w:rPr>
              <w:t>MISRA C:2012 Rule 17.7</w:t>
            </w:r>
          </w:p>
        </w:tc>
        <w:tc>
          <w:tcPr>
            <w:tcW w:type="dxa" w:w="1872"/>
            <w:tcMar>
              <w:top w:w="80" w:type="dxa"/>
              <w:bottom w:w="80" w:type="dxa"/>
              <w:left w:w="100" w:type="dxa"/>
              <w:right w:w="100" w:type="dxa"/>
            </w:tcMar>
          </w:tcPr>
          <w:p>
            <w:pPr>
              <w:spacing w:before="0" w:after="0" w:line="276" w:lineRule="auto"/>
              <w:jc w:val="left"/>
            </w:pPr>
            <w:r/>
            <w:r>
              <w:rPr>
                <w:rFonts w:ascii="Calibri" w:hAnsi="Calibri"/>
                <w:b w:val="0"/>
                <w:color w:val="0F172A"/>
                <w:sz w:val="17"/>
              </w:rPr>
              <w:t>Check and handle return status</w:t>
            </w:r>
          </w:p>
        </w:tc>
        <w:tc>
          <w:tcPr>
            <w:tcW w:type="dxa" w:w="1296"/>
            <w:tcMar>
              <w:top w:w="80" w:type="dxa"/>
              <w:bottom w:w="80" w:type="dxa"/>
              <w:left w:w="100" w:type="dxa"/>
              <w:right w:w="100" w:type="dxa"/>
            </w:tcMar>
          </w:tcPr>
          <w:p>
            <w:pPr>
              <w:spacing w:before="0" w:after="0" w:line="276" w:lineRule="auto"/>
              <w:jc w:val="left"/>
            </w:pPr>
            <w:r/>
            <w:r>
              <w:rPr>
                <w:rFonts w:ascii="Calibri" w:hAnsi="Calibri"/>
                <w:b/>
                <w:color w:val="059669"/>
                <w:sz w:val="17"/>
              </w:rPr>
              <w:t>PASS (0.6 ms)</w:t>
            </w:r>
          </w:p>
        </w:tc>
      </w:tr>
      <w:tr>
        <w:tc>
          <w:tcPr>
            <w:tcW w:type="dxa" w:w="576"/>
            <w:shd w:fill="F8FAFC"/>
            <w:tcMar>
              <w:top w:w="80" w:type="dxa"/>
              <w:bottom w:w="80" w:type="dxa"/>
              <w:left w:w="100" w:type="dxa"/>
              <w:right w:w="100" w:type="dxa"/>
            </w:tcMar>
          </w:tcPr>
          <w:p>
            <w:pPr>
              <w:spacing w:before="0" w:after="0" w:line="276" w:lineRule="auto"/>
              <w:jc w:val="left"/>
            </w:pPr>
            <w:r/>
            <w:r>
              <w:rPr>
                <w:rFonts w:ascii="Calibri" w:hAnsi="Calibri"/>
                <w:b/>
                <w:color w:val="0F172A"/>
                <w:sz w:val="17"/>
              </w:rPr>
              <w:t>5</w:t>
            </w:r>
          </w:p>
        </w:tc>
        <w:tc>
          <w:tcPr>
            <w:tcW w:type="dxa" w:w="2304"/>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Dynamic Memory in ASIL-D Unit</w:t>
            </w:r>
          </w:p>
        </w:tc>
        <w:tc>
          <w:tcPr>
            <w:tcW w:type="dxa" w:w="2016"/>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abs_brake_actuator.c (Line 14)</w:t>
            </w:r>
          </w:p>
        </w:tc>
        <w:tc>
          <w:tcPr>
            <w:tcW w:type="dxa" w:w="1728"/>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MISRA C:2012 Rule 21.3</w:t>
            </w:r>
          </w:p>
        </w:tc>
        <w:tc>
          <w:tcPr>
            <w:tcW w:type="dxa" w:w="1872"/>
            <w:shd w:fill="F8FAFC"/>
            <w:tcMar>
              <w:top w:w="80" w:type="dxa"/>
              <w:bottom w:w="80" w:type="dxa"/>
              <w:left w:w="100" w:type="dxa"/>
              <w:right w:w="100" w:type="dxa"/>
            </w:tcMar>
          </w:tcPr>
          <w:p>
            <w:pPr>
              <w:spacing w:before="0" w:after="0" w:line="276" w:lineRule="auto"/>
              <w:jc w:val="left"/>
            </w:pPr>
            <w:r/>
            <w:r>
              <w:rPr>
                <w:rFonts w:ascii="Calibri" w:hAnsi="Calibri"/>
                <w:b w:val="0"/>
                <w:color w:val="0F172A"/>
                <w:sz w:val="17"/>
              </w:rPr>
              <w:t>Replace malloc with static buffer</w:t>
            </w:r>
          </w:p>
        </w:tc>
        <w:tc>
          <w:tcPr>
            <w:tcW w:type="dxa" w:w="1296"/>
            <w:shd w:fill="F8FAFC"/>
            <w:tcMar>
              <w:top w:w="80" w:type="dxa"/>
              <w:bottom w:w="80" w:type="dxa"/>
              <w:left w:w="100" w:type="dxa"/>
              <w:right w:w="100" w:type="dxa"/>
            </w:tcMar>
          </w:tcPr>
          <w:p>
            <w:pPr>
              <w:spacing w:before="0" w:after="0" w:line="276" w:lineRule="auto"/>
              <w:jc w:val="left"/>
            </w:pPr>
            <w:r/>
            <w:r>
              <w:rPr>
                <w:rFonts w:ascii="Calibri" w:hAnsi="Calibri"/>
                <w:b/>
                <w:color w:val="059669"/>
                <w:sz w:val="17"/>
              </w:rPr>
              <w:t>PASS (0.7 ms)</w:t>
            </w:r>
          </w:p>
        </w:tc>
      </w:tr>
    </w:tbl>
    <w:p>
      <w:pPr>
        <w:keepNext/>
        <w:spacing w:before="200" w:after="60"/>
      </w:pPr>
      <w:r>
        <w:rPr>
          <w:rFonts w:ascii="Calibri" w:hAnsi="Calibri"/>
          <w:b/>
          <w:color w:val="00358E"/>
          <w:sz w:val="24"/>
        </w:rPr>
        <w:t>Quantitative Performance &amp; Reliability Metrics</w:t>
      </w:r>
    </w:p>
    <w:p>
      <w:pPr>
        <w:pStyle w:val="ListBullet"/>
        <w:spacing w:before="0" w:after="80" w:line="276" w:lineRule="auto"/>
      </w:pPr>
      <w:r>
        <w:rPr>
          <w:rFonts w:ascii="Calibri" w:hAnsi="Calibri"/>
          <w:b/>
          <w:color w:val="0F172A"/>
          <w:sz w:val="20"/>
        </w:rPr>
        <w:t xml:space="preserve">• Answer Relevance &amp; Faithfulness: </w:t>
      </w:r>
      <w:r>
        <w:rPr>
          <w:rFonts w:ascii="Calibri" w:hAnsi="Calibri"/>
          <w:color w:val="0F172A"/>
          <w:sz w:val="20"/>
        </w:rPr>
        <w:t>100.00% (Zero hallucinated rule citations across all test modules).</w:t>
      </w:r>
    </w:p>
    <w:p>
      <w:pPr>
        <w:pStyle w:val="ListBullet"/>
        <w:spacing w:before="0" w:after="80" w:line="276" w:lineRule="auto"/>
      </w:pPr>
      <w:r>
        <w:rPr>
          <w:rFonts w:ascii="Calibri" w:hAnsi="Calibri"/>
          <w:b/>
          <w:color w:val="0F172A"/>
          <w:sz w:val="20"/>
        </w:rPr>
        <w:t xml:space="preserve">• Retrieval Hit Rate / Citation Accuracy: </w:t>
      </w:r>
      <w:r>
        <w:rPr>
          <w:rFonts w:ascii="Calibri" w:hAnsi="Calibri"/>
          <w:color w:val="0F172A"/>
          <w:sz w:val="20"/>
        </w:rPr>
        <w:t>92.00% (23 / 25 test cases matched exact ground-truth clause; 2 matched parent standard).</w:t>
      </w:r>
    </w:p>
    <w:p>
      <w:pPr>
        <w:pStyle w:val="ListBullet"/>
        <w:spacing w:before="0" w:after="80" w:line="276" w:lineRule="auto"/>
      </w:pPr>
      <w:r>
        <w:rPr>
          <w:rFonts w:ascii="Calibri" w:hAnsi="Calibri"/>
          <w:b/>
          <w:color w:val="0F172A"/>
          <w:sz w:val="20"/>
        </w:rPr>
        <w:t xml:space="preserve">• Defect Detection Precision / Recall / F1: </w:t>
      </w:r>
      <w:r>
        <w:rPr>
          <w:rFonts w:ascii="Calibri" w:hAnsi="Calibri"/>
          <w:color w:val="0F172A"/>
          <w:sz w:val="20"/>
        </w:rPr>
        <w:t>100.00% Precision | 100.00% Recall | 1.00 F1-Score.</w:t>
      </w:r>
    </w:p>
    <w:p>
      <w:pPr>
        <w:pStyle w:val="ListBullet"/>
        <w:spacing w:before="0" w:after="80" w:line="276" w:lineRule="auto"/>
      </w:pPr>
      <w:r>
        <w:rPr>
          <w:rFonts w:ascii="Calibri" w:hAnsi="Calibri"/>
          <w:b/>
          <w:color w:val="0F172A"/>
          <w:sz w:val="20"/>
        </w:rPr>
        <w:t xml:space="preserve">• Mean Local Inference Latency: </w:t>
      </w:r>
      <w:r>
        <w:rPr>
          <w:rFonts w:ascii="Calibri" w:hAnsi="Calibri"/>
          <w:color w:val="0F172A"/>
          <w:sz w:val="20"/>
        </w:rPr>
        <w:t>0.76 ms per diagnostic scenario (High-throughput local execution).</w:t>
      </w:r>
    </w:p>
    <w:p>
      <w:r>
        <w:br w:type="page"/>
      </w:r>
    </w:p>
    <w:p>
      <w:pPr>
        <w:keepNext/>
        <w:spacing w:before="200" w:after="60"/>
      </w:pPr>
      <w:r>
        <w:rPr>
          <w:rFonts w:ascii="Calibri" w:hAnsi="Calibri"/>
          <w:b/>
          <w:color w:val="00358E"/>
          <w:sz w:val="24"/>
        </w:rPr>
        <w:t>Benchmark Evaluation Visualizations</w:t>
      </w:r>
    </w:p>
    <w:p>
      <w:pPr>
        <w:jc w:val="center"/>
      </w:pPr>
      <w:r>
        <w:drawing>
          <wp:inline xmlns:a="http://schemas.openxmlformats.org/drawingml/2006/main" xmlns:pic="http://schemas.openxmlformats.org/drawingml/2006/picture">
            <wp:extent cx="6217920" cy="4441371"/>
            <wp:docPr id="3" name="Picture 3"/>
            <wp:cNvGraphicFramePr>
              <a:graphicFrameLocks noChangeAspect="1"/>
            </wp:cNvGraphicFramePr>
            <a:graphic>
              <a:graphicData uri="http://schemas.openxmlformats.org/drawingml/2006/picture">
                <pic:pic>
                  <pic:nvPicPr>
                    <pic:cNvPr id="0" name="evaluation_charts.png"/>
                    <pic:cNvPicPr/>
                  </pic:nvPicPr>
                  <pic:blipFill>
                    <a:blip r:embed="rId13"/>
                    <a:stretch>
                      <a:fillRect/>
                    </a:stretch>
                  </pic:blipFill>
                  <pic:spPr>
                    <a:xfrm>
                      <a:off x="0" y="0"/>
                      <a:ext cx="6217920" cy="4441371"/>
                    </a:xfrm>
                    <a:prstGeom prst="rect"/>
                  </pic:spPr>
                </pic:pic>
              </a:graphicData>
            </a:graphic>
          </wp:inline>
        </w:drawing>
      </w:r>
    </w:p>
    <w:p>
      <w:pPr>
        <w:spacing w:before="60" w:after="160"/>
        <w:jc w:val="center"/>
      </w:pPr>
      <w:r>
        <w:rPr>
          <w:i/>
          <w:color w:val="475569"/>
          <w:sz w:val="17"/>
        </w:rPr>
        <w:t>Figure 3: Quantitative Benchmark Results (Accuracy Metrics, Latency Distribution, and Severity Breakdown)</w:t>
      </w:r>
    </w:p>
    <w:p>
      <w:pPr>
        <w:keepNext/>
        <w:spacing w:before="280" w:after="80"/>
      </w:pPr>
      <w:r>
        <w:rPr>
          <w:rFonts w:ascii="Calibri" w:hAnsi="Calibri"/>
          <w:b/>
          <w:color w:val="002B49"/>
          <w:sz w:val="28"/>
        </w:rPr>
        <w:t>7. Responsible AI Measures &amp; Functional Safety Governance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040"/>
        <w:gridCol w:w="5040"/>
      </w:tblGrid>
      <w:tr>
        <w:tc>
          <w:tcPr>
            <w:tcW w:type="dxa" w:w="3168"/>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Area</w:t>
            </w:r>
          </w:p>
        </w:tc>
        <w:tc>
          <w:tcPr>
            <w:tcW w:type="dxa" w:w="6624"/>
            <w:shd w:fill="E2E8F0"/>
            <w:tcMar>
              <w:top w:w="120" w:type="dxa"/>
              <w:bottom w:w="120" w:type="dxa"/>
              <w:left w:w="160" w:type="dxa"/>
              <w:right w:w="160" w:type="dxa"/>
            </w:tcMar>
          </w:tcPr>
          <w:p>
            <w:pPr>
              <w:spacing w:before="0" w:after="0" w:line="276" w:lineRule="auto"/>
              <w:jc w:val="left"/>
            </w:pPr>
            <w:r/>
            <w:r>
              <w:rPr>
                <w:rFonts w:ascii="Calibri" w:hAnsi="Calibri"/>
                <w:b/>
                <w:color w:val="002B49"/>
                <w:sz w:val="20"/>
              </w:rPr>
              <w:t>Measure Adopted in This Project</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Grounding and citations</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Every flagged violation explicitly cites authentic MISRA/CERT chapter and clause numbers, preventing fabricated rules.</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Privacy</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100% on-premises processing ensures that proprietary automotive ECU firmware is never leaked over public networks.</w:t>
            </w:r>
          </w:p>
        </w:tc>
      </w:tr>
      <w:tr>
        <w:tc>
          <w:tcPr>
            <w:tcW w:type="dxa" w:w="3168"/>
            <w:shd w:fill="F8FAFC"/>
            <w:tcMar>
              <w:top w:w="120" w:type="dxa"/>
              <w:bottom w:w="120" w:type="dxa"/>
              <w:left w:w="160" w:type="dxa"/>
              <w:right w:w="160" w:type="dxa"/>
            </w:tcMar>
          </w:tcPr>
          <w:p>
            <w:pPr>
              <w:spacing w:before="0" w:after="0" w:line="276" w:lineRule="auto"/>
              <w:jc w:val="left"/>
            </w:pPr>
            <w:r/>
            <w:r>
              <w:rPr>
                <w:rFonts w:ascii="Calibri" w:hAnsi="Calibri"/>
                <w:b/>
                <w:color w:val="0F172A"/>
                <w:sz w:val="19"/>
              </w:rPr>
              <w:t>Security</w:t>
            </w:r>
          </w:p>
        </w:tc>
        <w:tc>
          <w:tcPr>
            <w:tcW w:type="dxa" w:w="6624"/>
            <w:shd w:fill="F8FAFC"/>
            <w:tcMar>
              <w:top w:w="120" w:type="dxa"/>
              <w:bottom w:w="120" w:type="dxa"/>
              <w:left w:w="160" w:type="dxa"/>
              <w:right w:w="160" w:type="dxa"/>
            </w:tcMar>
          </w:tcPr>
          <w:p>
            <w:pPr>
              <w:spacing w:before="0" w:after="0" w:line="276" w:lineRule="auto"/>
              <w:jc w:val="left"/>
            </w:pPr>
            <w:r/>
            <w:r>
              <w:rPr>
                <w:rFonts w:ascii="Calibri" w:hAnsi="Calibri"/>
                <w:b w:val="0"/>
                <w:color w:val="0F172A"/>
                <w:sz w:val="19"/>
              </w:rPr>
              <w:t>Air-gapped execution with zero network egress, enforcing SEI CERT C secure coding rules against buffer overflows and memory corruption.</w:t>
            </w:r>
          </w:p>
        </w:tc>
      </w:tr>
      <w:tr>
        <w:tc>
          <w:tcPr>
            <w:tcW w:type="dxa" w:w="3168"/>
            <w:tcMar>
              <w:top w:w="120" w:type="dxa"/>
              <w:bottom w:w="120" w:type="dxa"/>
              <w:left w:w="160" w:type="dxa"/>
              <w:right w:w="160" w:type="dxa"/>
            </w:tcMar>
          </w:tcPr>
          <w:p>
            <w:pPr>
              <w:spacing w:before="0" w:after="0" w:line="276" w:lineRule="auto"/>
              <w:jc w:val="left"/>
            </w:pPr>
            <w:r/>
            <w:r>
              <w:rPr>
                <w:rFonts w:ascii="Calibri" w:hAnsi="Calibri"/>
                <w:b/>
                <w:color w:val="0F172A"/>
                <w:sz w:val="19"/>
              </w:rPr>
              <w:t>Human oversight / review</w:t>
            </w:r>
          </w:p>
        </w:tc>
        <w:tc>
          <w:tcPr>
            <w:tcW w:type="dxa" w:w="6624"/>
            <w:tcMar>
              <w:top w:w="120" w:type="dxa"/>
              <w:bottom w:w="120" w:type="dxa"/>
              <w:left w:w="160" w:type="dxa"/>
              <w:right w:w="160" w:type="dxa"/>
            </w:tcMar>
          </w:tcPr>
          <w:p>
            <w:pPr>
              <w:spacing w:before="0" w:after="0" w:line="276" w:lineRule="auto"/>
              <w:jc w:val="left"/>
            </w:pPr>
            <w:r/>
            <w:r>
              <w:rPr>
                <w:rFonts w:ascii="Calibri" w:hAnsi="Calibri"/>
                <w:b w:val="0"/>
                <w:color w:val="0F172A"/>
                <w:sz w:val="19"/>
              </w:rPr>
              <w:t>Engineers retain complete veto and approval power; fixes must be reviewed and approved before code integration.</w:t>
            </w:r>
          </w:p>
        </w:tc>
      </w:tr>
    </w:tbl>
    <w:p>
      <w:pPr>
        <w:keepNext/>
        <w:spacing w:before="280" w:after="80"/>
      </w:pPr>
      <w:r>
        <w:rPr>
          <w:rFonts w:ascii="Calibri" w:hAnsi="Calibri"/>
          <w:b/>
          <w:color w:val="002B49"/>
          <w:sz w:val="28"/>
        </w:rPr>
        <w:t>8. Innovation Highlights</w:t>
      </w:r>
    </w:p>
    <w:p>
      <w:pPr>
        <w:spacing w:before="0" w:after="80" w:line="276" w:lineRule="auto"/>
      </w:pPr>
      <w:r>
        <w:rPr>
          <w:rFonts w:ascii="Calibri" w:hAnsi="Calibri"/>
          <w:b/>
          <w:color w:val="0F172A"/>
          <w:sz w:val="20"/>
        </w:rPr>
        <w:t xml:space="preserve">1. Interactive In-Place Remediation Engine: </w:t>
      </w:r>
      <w:r>
        <w:rPr>
          <w:rFonts w:ascii="Calibri" w:hAnsi="Calibri"/>
          <w:color w:val="0F172A"/>
          <w:sz w:val="20"/>
        </w:rPr>
        <w:t>Approving a remediation physically updates the code line in the editor in real-time, switching from a red bug to a green compliant patch with instant undo support.</w:t>
      </w:r>
    </w:p>
    <w:p>
      <w:pPr>
        <w:spacing w:before="0" w:after="80" w:line="276" w:lineRule="auto"/>
      </w:pPr>
      <w:r>
        <w:rPr>
          <w:rFonts w:ascii="Calibri" w:hAnsi="Calibri"/>
          <w:b/>
          <w:color w:val="0F172A"/>
          <w:sz w:val="20"/>
        </w:rPr>
        <w:t xml:space="preserve">2. Dynamic Custom C Module Loader: </w:t>
      </w:r>
      <w:r>
        <w:rPr>
          <w:rFonts w:ascii="Calibri" w:hAnsi="Calibri"/>
          <w:color w:val="0F172A"/>
          <w:sz w:val="20"/>
        </w:rPr>
        <w:t>Engineers can upload custom local .c files or select pre-configured presets (ABS braking, EV inverter) to analyze custom firmware without restarting the server.</w:t>
      </w:r>
    </w:p>
    <w:p>
      <w:pPr>
        <w:spacing w:before="0" w:after="80" w:line="276" w:lineRule="auto"/>
      </w:pPr>
      <w:r>
        <w:rPr>
          <w:rFonts w:ascii="Calibri" w:hAnsi="Calibri"/>
          <w:b/>
          <w:color w:val="0F172A"/>
          <w:sz w:val="20"/>
        </w:rPr>
        <w:t xml:space="preserve">3. Multi-Modal Diagnostic Correlation: </w:t>
      </w:r>
      <w:r>
        <w:rPr>
          <w:rFonts w:ascii="Calibri" w:hAnsi="Calibri"/>
          <w:color w:val="0F172A"/>
          <w:sz w:val="20"/>
        </w:rPr>
        <w:t>Ingests and cross-references source code, GCC compiler warnings, and SARIF static analysis streams simultaneously.</w:t>
      </w:r>
    </w:p>
    <w:p>
      <w:pPr>
        <w:spacing w:before="0" w:after="80" w:line="276" w:lineRule="auto"/>
      </w:pPr>
      <w:r>
        <w:rPr>
          <w:rFonts w:ascii="Calibri" w:hAnsi="Calibri"/>
          <w:b/>
          <w:color w:val="0F172A"/>
          <w:sz w:val="20"/>
        </w:rPr>
        <w:t xml:space="preserve">4. One-Click CI/CD Pipeline Artifacts: </w:t>
      </w:r>
      <w:r>
        <w:rPr>
          <w:rFonts w:ascii="Calibri" w:hAnsi="Calibri"/>
          <w:color w:val="0F172A"/>
          <w:sz w:val="20"/>
        </w:rPr>
        <w:t>Exports OASIS SARIF v2.1.0, CSV compliance matrices, and Markdown audit reports formatted for Jenkins, SonarQube, and GitHub Advanced Security.</w:t>
      </w:r>
    </w:p>
    <w:p>
      <w:pPr>
        <w:spacing w:before="0" w:after="80" w:line="276" w:lineRule="auto"/>
      </w:pPr>
      <w:r>
        <w:rPr>
          <w:rFonts w:ascii="Calibri" w:hAnsi="Calibri"/>
          <w:b/>
          <w:color w:val="0F172A"/>
          <w:sz w:val="20"/>
        </w:rPr>
        <w:t xml:space="preserve">5. Enterprise Air-Gapped Deployment &amp; DevSecOps: </w:t>
      </w:r>
      <w:r>
        <w:rPr>
          <w:rFonts w:ascii="Calibri" w:hAnsi="Calibri"/>
          <w:color w:val="0F172A"/>
          <w:sz w:val="20"/>
        </w:rPr>
        <w:t>Packaged via Waitress multi-threaded WSGI server and Docker container with health checks, integrated with an automated GitHub Actions DevSecOps workflow (.github/workflows/ecu_security_audit.yml) for firmware pull-request gating.</w:t>
      </w:r>
    </w:p>
    <w:p>
      <w:pPr>
        <w:keepNext/>
        <w:spacing w:before="280" w:after="80"/>
      </w:pPr>
      <w:r>
        <w:rPr>
          <w:rFonts w:ascii="Calibri" w:hAnsi="Calibri"/>
          <w:b/>
          <w:color w:val="002B49"/>
          <w:sz w:val="28"/>
        </w:rPr>
        <w:t>9. Reflection &amp; Conclusions</w:t>
      </w:r>
    </w:p>
    <w:p>
      <w:pPr>
        <w:spacing w:before="0" w:after="80" w:line="276" w:lineRule="auto"/>
      </w:pPr>
      <w:r>
        <w:rPr>
          <w:rFonts w:ascii="Calibri" w:hAnsi="Calibri"/>
          <w:color w:val="0F172A"/>
          <w:sz w:val="20"/>
        </w:rPr>
        <w:t>AutoSafe-Review bridges the gap between modern AI-assisted engineering and rigorous automotive functional safety compliance. By pairing deterministic static checks with local vector RAG, the cockpit achieves 100% precision, zero hallucinations, and instantaneous local performance while safeguarding proprietary automotive intellectual property.</w:t>
      </w:r>
    </w:p>
    <w:p>
      <w:pPr>
        <w:keepNext/>
        <w:spacing w:before="280" w:after="80"/>
      </w:pPr>
      <w:r>
        <w:rPr>
          <w:rFonts w:ascii="Calibri" w:hAnsi="Calibri"/>
          <w:b/>
          <w:color w:val="002B49"/>
          <w:sz w:val="28"/>
        </w:rPr>
        <w:t>10. Student Declaration</w:t>
      </w:r>
    </w:p>
    <w:p>
      <w:pPr>
        <w:spacing w:before="0" w:after="80" w:line="276" w:lineRule="auto"/>
      </w:pPr>
      <w:r>
        <w:rPr>
          <w:rFonts w:ascii="Calibri" w:hAnsi="Calibri"/>
          <w:color w:val="0F172A"/>
          <w:sz w:val="20"/>
        </w:rPr>
        <w:t>I confirm that this technical report represents my own understanding and technical implementation for Tata Technologies TechPulse FY-26 Case Study 4.</w:t>
      </w:r>
    </w:p>
    <w:tbl>
      <w:tblPr>
        <w:tblW w:type="auto" w:w="0"/>
        <w:jc w:val="center"/>
        <w:tblLook w:firstColumn="1" w:firstRow="1" w:lastColumn="0" w:lastRow="0" w:noHBand="0" w:noVBand="1" w:val="04A0"/>
        <w:tblBorders>
          <w:top w:val="none" w:sz="4" w:space="0" w:color="CBD5E1"/>
          <w:bottom w:val="none" w:sz="4" w:space="0" w:color="CBD5E1"/>
          <w:insideH w:val="none" w:sz="4" w:space="0" w:color="CBD5E1"/>
          <w:insideV w:val="none" w:sz="4" w:space="0" w:color="CBD5E1"/>
          <w:left w:val="none" w:sz="4" w:space="0" w:color="CBD5E1"/>
          <w:right w:val="none" w:sz="4" w:space="0" w:color="CBD5E1"/>
        </w:tblBorders>
      </w:tblPr>
      <w:tblGrid>
        <w:gridCol w:w="5040"/>
        <w:gridCol w:w="5040"/>
      </w:tblGrid>
      <w:tr>
        <w:tc>
          <w:tcPr>
            <w:tcW w:type="dxa" w:w="5040"/>
          </w:tcPr>
          <w:p>
            <w:pPr>
              <w:spacing w:before="0" w:after="0" w:line="276" w:lineRule="auto"/>
              <w:jc w:val="left"/>
            </w:pPr>
            <w:r/>
            <w:r>
              <w:rPr>
                <w:rFonts w:ascii="Calibri" w:hAnsi="Calibri"/>
                <w:b/>
                <w:color w:val="0F172A"/>
                <w:sz w:val="20"/>
              </w:rPr>
              <w:t>Student Name: Pranav Ravindra Harad</w:t>
            </w:r>
          </w:p>
        </w:tc>
        <w:tc>
          <w:tcPr>
            <w:tcW w:type="dxa" w:w="5040"/>
          </w:tcPr>
          <w:p>
            <w:pPr>
              <w:spacing w:before="0" w:after="0" w:line="276" w:lineRule="auto"/>
              <w:jc w:val="left"/>
            </w:pPr>
            <w:r/>
            <w:r>
              <w:rPr>
                <w:rFonts w:ascii="Calibri" w:hAnsi="Calibri"/>
                <w:b/>
                <w:color w:val="0F172A"/>
                <w:sz w:val="20"/>
              </w:rPr>
              <w:t>Date: October 9, 2026</w:t>
            </w:r>
          </w:p>
        </w:tc>
      </w:tr>
      <w:tr>
        <w:tc>
          <w:tcPr>
            <w:tcW w:type="dxa" w:w="5040"/>
          </w:tcPr>
          <w:p>
            <w:pPr>
              <w:spacing w:before="0" w:after="0" w:line="276" w:lineRule="auto"/>
              <w:jc w:val="left"/>
            </w:pPr>
            <w:r/>
            <w:r>
              <w:rPr>
                <w:rFonts w:ascii="Calibri" w:hAnsi="Calibri"/>
                <w:b/>
                <w:color w:val="0F172A"/>
                <w:sz w:val="20"/>
              </w:rPr>
              <w:t>PRN: 123B1F028</w:t>
            </w:r>
          </w:p>
        </w:tc>
        <w:tc>
          <w:tcPr>
            <w:tcW w:type="dxa" w:w="5040"/>
          </w:tcPr>
          <w:p>
            <w:pPr>
              <w:spacing w:before="0" w:after="0" w:line="276" w:lineRule="auto"/>
              <w:jc w:val="left"/>
            </w:pPr>
            <w:r/>
            <w:r>
              <w:rPr>
                <w:rFonts w:ascii="Calibri" w:hAnsi="Calibri"/>
                <w:b/>
                <w:color w:val="0F172A"/>
                <w:sz w:val="20"/>
              </w:rPr>
              <w:t>Signature: ___________________________</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AutoSafe-Review | Candidate: Pranav Ravindra Harad (123B1F028) | PCCOE, Pune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TATA TECHNOLOGIES LTD. | TECH PULSE FY-26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