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44F6" w14:textId="77777777" w:rsidR="00BD0135" w:rsidRDefault="00000000">
      <w:pPr>
        <w:spacing w:after="0" w:line="259" w:lineRule="auto"/>
        <w:ind w:left="0" w:right="0" w:firstLine="0"/>
        <w:jc w:val="left"/>
        <w:rPr>
          <w:sz w:val="48"/>
        </w:rPr>
      </w:pPr>
      <w:r>
        <w:rPr>
          <w:sz w:val="48"/>
        </w:rPr>
        <w:t xml:space="preserve">Modelling and Analysis of Wireless EV Charging </w:t>
      </w:r>
    </w:p>
    <w:p w14:paraId="6C163F18" w14:textId="4A1AE4DB" w:rsidR="000F2D72" w:rsidRDefault="000F2D72" w:rsidP="000F2D72">
      <w:pPr>
        <w:spacing w:after="0" w:line="259" w:lineRule="auto"/>
        <w:ind w:left="0" w:right="0" w:firstLine="0"/>
        <w:jc w:val="center"/>
        <w:rPr>
          <w:sz w:val="48"/>
        </w:rPr>
      </w:pPr>
      <w:r>
        <w:rPr>
          <w:sz w:val="48"/>
        </w:rPr>
        <w:t>System</w:t>
      </w:r>
    </w:p>
    <w:p w14:paraId="780FBBA9" w14:textId="77777777" w:rsidR="006E4DCD" w:rsidRDefault="006E4DCD" w:rsidP="000F2D72">
      <w:pPr>
        <w:spacing w:after="0" w:line="259" w:lineRule="auto"/>
        <w:ind w:left="0" w:right="0" w:firstLine="0"/>
        <w:jc w:val="center"/>
      </w:pPr>
    </w:p>
    <w:tbl>
      <w:tblPr>
        <w:tblStyle w:val="TableGrid"/>
        <w:tblW w:w="10538" w:type="dxa"/>
        <w:tblInd w:w="-168" w:type="dxa"/>
        <w:tblLook w:val="0480" w:firstRow="0" w:lastRow="0" w:firstColumn="1" w:lastColumn="0" w:noHBand="0" w:noVBand="1"/>
      </w:tblPr>
      <w:tblGrid>
        <w:gridCol w:w="10526"/>
        <w:gridCol w:w="6"/>
        <w:gridCol w:w="6"/>
      </w:tblGrid>
      <w:tr w:rsidR="00BD0135" w14:paraId="0D08456F" w14:textId="77777777" w:rsidTr="007A4608">
        <w:trPr>
          <w:trHeight w:val="1272"/>
        </w:trPr>
        <w:tc>
          <w:tcPr>
            <w:tcW w:w="10526" w:type="dxa"/>
            <w:tcBorders>
              <w:top w:val="nil"/>
              <w:left w:val="nil"/>
              <w:right w:val="nil"/>
            </w:tcBorders>
          </w:tcPr>
          <w:tbl>
            <w:tblPr>
              <w:tblStyle w:val="TableGrid0"/>
              <w:tblW w:w="10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574"/>
              <w:gridCol w:w="3498"/>
            </w:tblGrid>
            <w:tr w:rsidR="000F2D72" w14:paraId="3104DC53" w14:textId="77777777" w:rsidTr="007A4608">
              <w:trPr>
                <w:trHeight w:val="389"/>
              </w:trPr>
              <w:tc>
                <w:tcPr>
                  <w:tcW w:w="3426" w:type="dxa"/>
                </w:tcPr>
                <w:p w14:paraId="4D09D94E" w14:textId="77777777" w:rsidR="000F2D72" w:rsidRDefault="000F2D72" w:rsidP="000F2D72">
                  <w:pPr>
                    <w:spacing w:after="40" w:line="259" w:lineRule="auto"/>
                    <w:ind w:left="0" w:right="0" w:firstLine="0"/>
                    <w:jc w:val="center"/>
                  </w:pPr>
                  <w:r>
                    <w:t xml:space="preserve">Saniya </w:t>
                  </w:r>
                  <w:proofErr w:type="spellStart"/>
                  <w:r>
                    <w:t>Murkute</w:t>
                  </w:r>
                  <w:proofErr w:type="spellEnd"/>
                  <w:r>
                    <w:t>,</w:t>
                  </w:r>
                </w:p>
                <w:p w14:paraId="2CC6C963" w14:textId="77777777" w:rsidR="000F2D72" w:rsidRDefault="006E4DCD" w:rsidP="006E4DCD">
                  <w:pPr>
                    <w:spacing w:before="40" w:after="40" w:line="259" w:lineRule="auto"/>
                    <w:ind w:left="0" w:right="0" w:firstLine="0"/>
                    <w:jc w:val="left"/>
                  </w:pPr>
                  <w:r>
                    <w:t>Department of Electrical Engineering</w:t>
                  </w:r>
                </w:p>
                <w:p w14:paraId="1EA07908" w14:textId="1112976E" w:rsidR="006E4DCD" w:rsidRDefault="006E4DCD" w:rsidP="006E4DCD">
                  <w:pPr>
                    <w:spacing w:before="40" w:after="40" w:line="259" w:lineRule="auto"/>
                    <w:ind w:left="0" w:right="0" w:firstLine="0"/>
                    <w:jc w:val="left"/>
                  </w:pPr>
                  <w:proofErr w:type="spellStart"/>
                  <w:r>
                    <w:t>Yeshwantrao</w:t>
                  </w:r>
                  <w:proofErr w:type="spellEnd"/>
                  <w:r>
                    <w:t xml:space="preserve"> Chavan College of Engineering, Nagpur</w:t>
                  </w:r>
                </w:p>
              </w:tc>
              <w:tc>
                <w:tcPr>
                  <w:tcW w:w="3574" w:type="dxa"/>
                </w:tcPr>
                <w:p w14:paraId="0EF2F786" w14:textId="5EFC16AA" w:rsidR="006E4DCD" w:rsidRDefault="006E4DCD" w:rsidP="006E4DCD">
                  <w:pPr>
                    <w:spacing w:before="40" w:after="40" w:line="259" w:lineRule="auto"/>
                    <w:ind w:left="0" w:right="0" w:firstLine="0"/>
                    <w:jc w:val="center"/>
                  </w:pPr>
                  <w:r>
                    <w:t xml:space="preserve">Prof. Nisha M. </w:t>
                  </w:r>
                  <w:proofErr w:type="spellStart"/>
                  <w:r>
                    <w:t>Shirao</w:t>
                  </w:r>
                  <w:proofErr w:type="spellEnd"/>
                  <w:r>
                    <w:t>,</w:t>
                  </w:r>
                </w:p>
                <w:p w14:paraId="6511230F" w14:textId="0E9F43A6" w:rsidR="006E4DCD" w:rsidRDefault="006E4DCD" w:rsidP="006E4DCD">
                  <w:pPr>
                    <w:spacing w:before="40" w:after="40" w:line="259" w:lineRule="auto"/>
                    <w:ind w:left="0" w:right="0" w:firstLine="0"/>
                    <w:jc w:val="left"/>
                  </w:pPr>
                  <w:r>
                    <w:t>Department of Electrical Engineering</w:t>
                  </w:r>
                </w:p>
                <w:p w14:paraId="0D4FE294" w14:textId="5D7AE844" w:rsidR="000F2D72" w:rsidRDefault="006E4DCD" w:rsidP="006E4DCD">
                  <w:pPr>
                    <w:spacing w:after="160" w:line="259" w:lineRule="auto"/>
                    <w:ind w:left="0" w:right="0" w:firstLine="0"/>
                    <w:jc w:val="left"/>
                  </w:pPr>
                  <w:proofErr w:type="spellStart"/>
                  <w:r>
                    <w:t>Yeshwantrao</w:t>
                  </w:r>
                  <w:proofErr w:type="spellEnd"/>
                  <w:r>
                    <w:t xml:space="preserve"> Chavan College of Engineering, Nagpur</w:t>
                  </w:r>
                </w:p>
              </w:tc>
              <w:tc>
                <w:tcPr>
                  <w:tcW w:w="3498" w:type="dxa"/>
                </w:tcPr>
                <w:p w14:paraId="79E944D7" w14:textId="7236814F" w:rsidR="006E4DCD" w:rsidRDefault="006E4DCD" w:rsidP="007A4608">
                  <w:pPr>
                    <w:spacing w:after="40" w:line="259" w:lineRule="auto"/>
                    <w:ind w:left="0" w:right="0" w:firstLine="0"/>
                    <w:jc w:val="center"/>
                  </w:pPr>
                  <w:r>
                    <w:t>Sa</w:t>
                  </w:r>
                  <w:r>
                    <w:t>loni Lanjewar</w:t>
                  </w:r>
                  <w:r>
                    <w:t>,</w:t>
                  </w:r>
                </w:p>
                <w:p w14:paraId="0502F680" w14:textId="77777777" w:rsidR="006E4DCD" w:rsidRDefault="006E4DCD" w:rsidP="006E4DCD">
                  <w:pPr>
                    <w:spacing w:before="40" w:after="40" w:line="259" w:lineRule="auto"/>
                    <w:ind w:left="0" w:right="0" w:firstLine="0"/>
                    <w:jc w:val="left"/>
                  </w:pPr>
                  <w:r>
                    <w:t>Department of Electrical Engineering</w:t>
                  </w:r>
                </w:p>
                <w:p w14:paraId="6773D9D3" w14:textId="77777777" w:rsidR="000F2D72" w:rsidRDefault="006E4DCD" w:rsidP="006E4DCD">
                  <w:pPr>
                    <w:spacing w:after="160" w:line="259" w:lineRule="auto"/>
                    <w:ind w:left="0" w:right="0" w:firstLine="0"/>
                    <w:jc w:val="left"/>
                  </w:pPr>
                  <w:proofErr w:type="spellStart"/>
                  <w:r>
                    <w:t>Yeshwantrao</w:t>
                  </w:r>
                  <w:proofErr w:type="spellEnd"/>
                  <w:r>
                    <w:t xml:space="preserve"> Chavan College of Engineering, Nagpur</w:t>
                  </w:r>
                </w:p>
                <w:p w14:paraId="4CB403DC" w14:textId="5DB752DB" w:rsidR="007A4608" w:rsidRDefault="007A4608" w:rsidP="006E4DCD">
                  <w:pPr>
                    <w:spacing w:after="160" w:line="259" w:lineRule="auto"/>
                    <w:ind w:left="0" w:right="0" w:firstLine="0"/>
                    <w:jc w:val="left"/>
                  </w:pPr>
                </w:p>
              </w:tc>
            </w:tr>
            <w:tr w:rsidR="000F2D72" w14:paraId="149123A6" w14:textId="77777777" w:rsidTr="007A4608">
              <w:trPr>
                <w:trHeight w:val="365"/>
              </w:trPr>
              <w:tc>
                <w:tcPr>
                  <w:tcW w:w="3426" w:type="dxa"/>
                </w:tcPr>
                <w:p w14:paraId="46381CED" w14:textId="3D315989" w:rsidR="006E4DCD" w:rsidRDefault="006E4DCD" w:rsidP="006E4DCD">
                  <w:pPr>
                    <w:spacing w:after="40" w:line="259" w:lineRule="auto"/>
                    <w:ind w:left="0" w:right="0" w:firstLine="0"/>
                    <w:jc w:val="center"/>
                  </w:pPr>
                  <w:r>
                    <w:t>Anisha Uikey</w:t>
                  </w:r>
                  <w:r>
                    <w:t>,</w:t>
                  </w:r>
                </w:p>
                <w:p w14:paraId="71BA976C" w14:textId="77777777" w:rsidR="006E4DCD" w:rsidRDefault="006E4DCD" w:rsidP="006E4DCD">
                  <w:pPr>
                    <w:spacing w:before="40" w:after="40" w:line="259" w:lineRule="auto"/>
                    <w:ind w:left="0" w:right="0" w:firstLine="0"/>
                    <w:jc w:val="left"/>
                  </w:pPr>
                  <w:r>
                    <w:t>Department of Electrical Engineering</w:t>
                  </w:r>
                </w:p>
                <w:p w14:paraId="228527FB" w14:textId="1E4FF695" w:rsidR="000F2D72" w:rsidRDefault="006E4DCD" w:rsidP="006E4DCD">
                  <w:pPr>
                    <w:spacing w:after="160" w:line="259" w:lineRule="auto"/>
                    <w:ind w:left="0" w:right="0" w:firstLine="0"/>
                    <w:jc w:val="left"/>
                  </w:pPr>
                  <w:proofErr w:type="spellStart"/>
                  <w:r>
                    <w:t>Yeshwantrao</w:t>
                  </w:r>
                  <w:proofErr w:type="spellEnd"/>
                  <w:r>
                    <w:t xml:space="preserve"> Chavan College of Engineering, Nagpur</w:t>
                  </w:r>
                </w:p>
              </w:tc>
              <w:tc>
                <w:tcPr>
                  <w:tcW w:w="3574" w:type="dxa"/>
                </w:tcPr>
                <w:p w14:paraId="1CDA704E" w14:textId="2C69CF79" w:rsidR="006E4DCD" w:rsidRDefault="006E4DCD" w:rsidP="006E4DCD">
                  <w:pPr>
                    <w:spacing w:after="40" w:line="259" w:lineRule="auto"/>
                    <w:ind w:left="0" w:right="0" w:firstLine="0"/>
                    <w:jc w:val="center"/>
                  </w:pPr>
                  <w:r>
                    <w:t xml:space="preserve">Himanshu </w:t>
                  </w:r>
                  <w:proofErr w:type="spellStart"/>
                  <w:r>
                    <w:t>Dhok</w:t>
                  </w:r>
                  <w:proofErr w:type="spellEnd"/>
                  <w:r>
                    <w:t>,</w:t>
                  </w:r>
                </w:p>
                <w:p w14:paraId="0313268C" w14:textId="77777777" w:rsidR="006E4DCD" w:rsidRDefault="006E4DCD" w:rsidP="006E4DCD">
                  <w:pPr>
                    <w:spacing w:before="40" w:after="40" w:line="259" w:lineRule="auto"/>
                    <w:ind w:left="0" w:right="0" w:firstLine="0"/>
                    <w:jc w:val="left"/>
                  </w:pPr>
                  <w:r>
                    <w:t>Department of Electrical Engineering</w:t>
                  </w:r>
                </w:p>
                <w:p w14:paraId="695B9B21" w14:textId="10BA83E8" w:rsidR="000F2D72" w:rsidRDefault="006E4DCD" w:rsidP="006E4DCD">
                  <w:pPr>
                    <w:spacing w:after="160" w:line="259" w:lineRule="auto"/>
                    <w:ind w:left="0" w:right="0" w:firstLine="0"/>
                    <w:jc w:val="left"/>
                  </w:pPr>
                  <w:proofErr w:type="spellStart"/>
                  <w:r>
                    <w:t>Yeshwantrao</w:t>
                  </w:r>
                  <w:proofErr w:type="spellEnd"/>
                  <w:r>
                    <w:t xml:space="preserve"> Chavan College of Engineering, Nagpur</w:t>
                  </w:r>
                </w:p>
              </w:tc>
              <w:tc>
                <w:tcPr>
                  <w:tcW w:w="3498" w:type="dxa"/>
                </w:tcPr>
                <w:p w14:paraId="561F13F7" w14:textId="4926E5BC" w:rsidR="006E4DCD" w:rsidRDefault="006E4DCD" w:rsidP="006E4DCD">
                  <w:pPr>
                    <w:spacing w:after="40" w:line="259" w:lineRule="auto"/>
                    <w:ind w:left="0" w:right="0" w:firstLine="0"/>
                    <w:jc w:val="center"/>
                  </w:pPr>
                  <w:r>
                    <w:t>Amisha Gorle</w:t>
                  </w:r>
                  <w:r>
                    <w:t>,</w:t>
                  </w:r>
                </w:p>
                <w:p w14:paraId="014DBD28" w14:textId="77777777" w:rsidR="006E4DCD" w:rsidRDefault="006E4DCD" w:rsidP="007A4608">
                  <w:pPr>
                    <w:spacing w:before="40" w:after="40" w:line="259" w:lineRule="auto"/>
                    <w:ind w:left="0" w:right="0" w:firstLine="0"/>
                    <w:jc w:val="left"/>
                  </w:pPr>
                  <w:r>
                    <w:t>Department of Electrical Engineering</w:t>
                  </w:r>
                </w:p>
                <w:p w14:paraId="3D97BD0E" w14:textId="77777777" w:rsidR="000F2D72" w:rsidRDefault="006E4DCD" w:rsidP="007A4608">
                  <w:pPr>
                    <w:spacing w:after="160" w:line="259" w:lineRule="auto"/>
                    <w:ind w:left="0" w:right="0" w:firstLine="0"/>
                    <w:jc w:val="left"/>
                  </w:pPr>
                  <w:proofErr w:type="spellStart"/>
                  <w:r>
                    <w:t>Yeshwantrao</w:t>
                  </w:r>
                  <w:proofErr w:type="spellEnd"/>
                  <w:r>
                    <w:t xml:space="preserve"> Chavan College of Engineering, Nagpur</w:t>
                  </w:r>
                </w:p>
                <w:p w14:paraId="7A5B1DBF" w14:textId="1E5E5384" w:rsidR="007A4608" w:rsidRDefault="007A4608" w:rsidP="007A4608">
                  <w:pPr>
                    <w:spacing w:after="160" w:line="259" w:lineRule="auto"/>
                    <w:ind w:left="0" w:right="0" w:firstLine="0"/>
                    <w:jc w:val="left"/>
                  </w:pPr>
                </w:p>
              </w:tc>
            </w:tr>
            <w:tr w:rsidR="000F2D72" w14:paraId="265FFCE7" w14:textId="77777777" w:rsidTr="007A4608">
              <w:trPr>
                <w:trHeight w:val="272"/>
              </w:trPr>
              <w:tc>
                <w:tcPr>
                  <w:tcW w:w="3426" w:type="dxa"/>
                </w:tcPr>
                <w:p w14:paraId="1F114324" w14:textId="77777777" w:rsidR="000F2D72" w:rsidRDefault="000F2D72">
                  <w:pPr>
                    <w:spacing w:after="160" w:line="259" w:lineRule="auto"/>
                    <w:ind w:left="0" w:right="0" w:firstLine="0"/>
                    <w:jc w:val="left"/>
                  </w:pPr>
                </w:p>
              </w:tc>
              <w:tc>
                <w:tcPr>
                  <w:tcW w:w="3574" w:type="dxa"/>
                </w:tcPr>
                <w:p w14:paraId="364CB932" w14:textId="06967D3B" w:rsidR="006E4DCD" w:rsidRDefault="006E4DCD" w:rsidP="006E4DCD">
                  <w:pPr>
                    <w:spacing w:after="40" w:line="259" w:lineRule="auto"/>
                    <w:ind w:left="0" w:right="0" w:firstLine="0"/>
                    <w:jc w:val="center"/>
                  </w:pPr>
                  <w:r>
                    <w:t>Shripad Ubale</w:t>
                  </w:r>
                  <w:r>
                    <w:t>,</w:t>
                  </w:r>
                </w:p>
                <w:p w14:paraId="38697E51" w14:textId="77777777" w:rsidR="006E4DCD" w:rsidRDefault="006E4DCD" w:rsidP="00BD44CD">
                  <w:pPr>
                    <w:spacing w:before="40" w:after="40" w:line="259" w:lineRule="auto"/>
                    <w:ind w:left="0" w:right="0" w:firstLine="0"/>
                    <w:jc w:val="left"/>
                  </w:pPr>
                  <w:r>
                    <w:t>Department of Electrical Engineering</w:t>
                  </w:r>
                </w:p>
                <w:p w14:paraId="74497984" w14:textId="421FCA62" w:rsidR="000F2D72" w:rsidRDefault="006E4DCD" w:rsidP="00BD44CD">
                  <w:pPr>
                    <w:spacing w:after="160" w:line="259" w:lineRule="auto"/>
                    <w:ind w:left="0" w:right="0" w:firstLine="0"/>
                    <w:jc w:val="left"/>
                  </w:pPr>
                  <w:proofErr w:type="spellStart"/>
                  <w:r>
                    <w:t>Yeshwantrao</w:t>
                  </w:r>
                  <w:proofErr w:type="spellEnd"/>
                  <w:r>
                    <w:t xml:space="preserve"> Chavan College of Engineering, Nagpur</w:t>
                  </w:r>
                </w:p>
              </w:tc>
              <w:tc>
                <w:tcPr>
                  <w:tcW w:w="3498" w:type="dxa"/>
                </w:tcPr>
                <w:p w14:paraId="41C7BB0F" w14:textId="77777777" w:rsidR="000F2D72" w:rsidRDefault="000F2D72">
                  <w:pPr>
                    <w:spacing w:after="160" w:line="259" w:lineRule="auto"/>
                    <w:ind w:left="0" w:right="0" w:firstLine="0"/>
                    <w:jc w:val="left"/>
                  </w:pPr>
                </w:p>
              </w:tc>
            </w:tr>
          </w:tbl>
          <w:p w14:paraId="7EBB716C" w14:textId="77777777" w:rsidR="00BD0135" w:rsidRDefault="00BD0135">
            <w:pPr>
              <w:spacing w:after="160" w:line="259" w:lineRule="auto"/>
              <w:ind w:left="0" w:right="0" w:firstLine="0"/>
              <w:jc w:val="left"/>
            </w:pPr>
          </w:p>
        </w:tc>
        <w:tc>
          <w:tcPr>
            <w:tcW w:w="6" w:type="dxa"/>
            <w:tcBorders>
              <w:top w:val="nil"/>
              <w:left w:val="nil"/>
              <w:bottom w:val="nil"/>
              <w:right w:val="nil"/>
            </w:tcBorders>
          </w:tcPr>
          <w:p w14:paraId="7B812F7C" w14:textId="3DD94C1B" w:rsidR="00BD0135" w:rsidRDefault="00BD0135">
            <w:pPr>
              <w:spacing w:after="0" w:line="259" w:lineRule="auto"/>
              <w:ind w:left="1351" w:right="0" w:firstLine="0"/>
              <w:jc w:val="left"/>
            </w:pPr>
          </w:p>
        </w:tc>
        <w:tc>
          <w:tcPr>
            <w:tcW w:w="6" w:type="dxa"/>
            <w:tcBorders>
              <w:top w:val="nil"/>
              <w:left w:val="nil"/>
              <w:bottom w:val="nil"/>
              <w:right w:val="nil"/>
            </w:tcBorders>
          </w:tcPr>
          <w:p w14:paraId="26079C6A" w14:textId="77777777" w:rsidR="00BD0135" w:rsidRDefault="00BD0135">
            <w:pPr>
              <w:spacing w:after="160" w:line="259" w:lineRule="auto"/>
              <w:ind w:left="0" w:right="0" w:firstLine="0"/>
              <w:jc w:val="left"/>
            </w:pPr>
          </w:p>
        </w:tc>
      </w:tr>
      <w:tr w:rsidR="00BD0135" w14:paraId="7632F424" w14:textId="77777777" w:rsidTr="007A4608">
        <w:trPr>
          <w:trHeight w:val="581"/>
        </w:trPr>
        <w:tc>
          <w:tcPr>
            <w:tcW w:w="10526" w:type="dxa"/>
            <w:tcBorders>
              <w:top w:val="nil"/>
              <w:left w:val="nil"/>
              <w:bottom w:val="nil"/>
              <w:right w:val="nil"/>
            </w:tcBorders>
            <w:vAlign w:val="bottom"/>
          </w:tcPr>
          <w:p w14:paraId="4ECB6D8A" w14:textId="7668C5A4" w:rsidR="00BD0135" w:rsidRDefault="00BD0135" w:rsidP="000F2D72">
            <w:pPr>
              <w:spacing w:after="0" w:line="259" w:lineRule="auto"/>
              <w:ind w:left="0" w:right="0" w:firstLine="0"/>
              <w:jc w:val="left"/>
            </w:pPr>
          </w:p>
        </w:tc>
        <w:tc>
          <w:tcPr>
            <w:tcW w:w="6" w:type="dxa"/>
            <w:tcBorders>
              <w:top w:val="nil"/>
              <w:left w:val="nil"/>
              <w:bottom w:val="nil"/>
              <w:right w:val="nil"/>
            </w:tcBorders>
            <w:vAlign w:val="bottom"/>
          </w:tcPr>
          <w:p w14:paraId="53A0E892" w14:textId="223C17C6" w:rsidR="00BD0135" w:rsidRDefault="00BD0135">
            <w:pPr>
              <w:spacing w:after="0" w:line="259" w:lineRule="auto"/>
              <w:ind w:left="598" w:right="119" w:hanging="420"/>
              <w:jc w:val="left"/>
            </w:pPr>
          </w:p>
        </w:tc>
        <w:tc>
          <w:tcPr>
            <w:tcW w:w="6" w:type="dxa"/>
            <w:tcBorders>
              <w:top w:val="nil"/>
              <w:left w:val="nil"/>
              <w:bottom w:val="nil"/>
              <w:right w:val="nil"/>
            </w:tcBorders>
            <w:vAlign w:val="bottom"/>
          </w:tcPr>
          <w:p w14:paraId="0E6C923D" w14:textId="54497C8D" w:rsidR="00BD0135" w:rsidRDefault="00BD0135">
            <w:pPr>
              <w:spacing w:after="0" w:line="259" w:lineRule="auto"/>
              <w:ind w:left="599" w:right="0" w:hanging="421"/>
              <w:jc w:val="left"/>
            </w:pPr>
          </w:p>
        </w:tc>
      </w:tr>
    </w:tbl>
    <w:p w14:paraId="1BCCFBF2" w14:textId="77777777" w:rsidR="00BD0135" w:rsidRDefault="00BD0135" w:rsidP="00F91150">
      <w:pPr>
        <w:ind w:left="0" w:firstLine="0"/>
        <w:sectPr w:rsidR="00BD0135">
          <w:pgSz w:w="11906" w:h="16838"/>
          <w:pgMar w:top="656" w:right="1157" w:bottom="716" w:left="1154" w:header="720" w:footer="720" w:gutter="0"/>
          <w:cols w:space="720"/>
        </w:sectPr>
      </w:pPr>
    </w:p>
    <w:p w14:paraId="31703DBD" w14:textId="77777777" w:rsidR="00BD0135" w:rsidRDefault="00000000" w:rsidP="007A4608">
      <w:pPr>
        <w:spacing w:after="199" w:line="238" w:lineRule="auto"/>
        <w:ind w:left="0" w:right="47" w:firstLine="0"/>
      </w:pPr>
      <w:r>
        <w:rPr>
          <w:b/>
          <w:i/>
          <w:sz w:val="18"/>
        </w:rPr>
        <w:t>Abstract</w:t>
      </w:r>
      <w:r>
        <w:rPr>
          <w:b/>
          <w:sz w:val="18"/>
        </w:rPr>
        <w:t xml:space="preserve">—Wireless charging has become an emerging challenge to reduce the cost of a conventional plug-in charging system in electric vehicles especially for supercapacitors that are utilized for quick charging and low-energy demands. In this article, the design of an efficient wireless power transfer system has been presented using resonant inductive coupling technique for supercapacitor-based electric vehicle. Mathematical analysis, simulation, and experimental implementation of the proposed charging system have been carried out. Simulations of various parts of the systems are carried out in two different software, ANSYS MAXWELL and MATLAB. ANSYS MAXWELL has been used to calculate the various parameters for the transmitter and receiver coils such as self-inductance (L), mutual inductance (M), coupling coefficient (K), and magnetic flux magnitude (B). MATLAB has been utilized to calculate output power and efficiency of the proposed system using the mathematical relationships of these parameters. The experimental setup is made with supercapacitor banks, electric vehicle, wattmeters, controller, and frequency generator to verify the simulation results. The results show that the proposed technique has better power transfer efficiency of more than 75% and higher power transfer density using a smaller coil size with a bigger gap. </w:t>
      </w:r>
    </w:p>
    <w:p w14:paraId="39FD4FCE" w14:textId="77777777" w:rsidR="00BD0135" w:rsidRDefault="00000000">
      <w:pPr>
        <w:spacing w:after="207" w:line="259" w:lineRule="auto"/>
        <w:ind w:left="0" w:right="50" w:firstLine="0"/>
        <w:jc w:val="center"/>
      </w:pPr>
      <w:r>
        <w:rPr>
          <w:b/>
          <w:i/>
          <w:sz w:val="18"/>
        </w:rPr>
        <w:t xml:space="preserve">Keywords—component, formatting, style, styling, insert. </w:t>
      </w:r>
    </w:p>
    <w:p w14:paraId="45EB6B00" w14:textId="77777777" w:rsidR="00BD0135" w:rsidRDefault="00000000">
      <w:pPr>
        <w:pStyle w:val="Heading1"/>
        <w:tabs>
          <w:tab w:val="center" w:pos="1669"/>
          <w:tab w:val="center" w:pos="2639"/>
        </w:tabs>
        <w:spacing w:after="66" w:line="259" w:lineRule="auto"/>
        <w:ind w:left="0" w:firstLine="0"/>
      </w:pPr>
      <w:r>
        <w:rPr>
          <w:rFonts w:ascii="Calibri" w:eastAsia="Calibri" w:hAnsi="Calibri" w:cs="Calibri"/>
          <w:sz w:val="22"/>
        </w:rPr>
        <w:tab/>
      </w:r>
      <w:r>
        <w:rPr>
          <w:sz w:val="20"/>
        </w:rPr>
        <w:t>I.</w:t>
      </w:r>
      <w:r>
        <w:rPr>
          <w:rFonts w:ascii="Arial" w:eastAsia="Arial" w:hAnsi="Arial" w:cs="Arial"/>
          <w:sz w:val="20"/>
        </w:rPr>
        <w:t xml:space="preserve"> </w:t>
      </w:r>
      <w:r>
        <w:rPr>
          <w:rFonts w:ascii="Arial" w:eastAsia="Arial" w:hAnsi="Arial" w:cs="Arial"/>
          <w:sz w:val="20"/>
        </w:rPr>
        <w:tab/>
      </w:r>
      <w:r>
        <w:rPr>
          <w:sz w:val="20"/>
        </w:rPr>
        <w:t>I</w:t>
      </w:r>
      <w:r>
        <w:t>NTRODUCTION</w:t>
      </w:r>
      <w:r>
        <w:rPr>
          <w:sz w:val="20"/>
        </w:rPr>
        <w:t xml:space="preserve"> </w:t>
      </w:r>
    </w:p>
    <w:p w14:paraId="7374BEAE" w14:textId="77777777" w:rsidR="00BD0135" w:rsidRDefault="00000000">
      <w:pPr>
        <w:spacing w:after="114"/>
        <w:ind w:left="-15" w:right="0" w:firstLine="288"/>
      </w:pPr>
      <w:r>
        <w:t xml:space="preserve">The global shift toward sustainable transportation has established Electric Vehicles (EVs) as a cornerstone of modern automotive engineering. However, the widespread adoption of EVs remains tethered to the limitations of traditional charging infrastructure. Conventional plug-in systems, while functional, are often hampered by the necessity of physical connectors, susceptibility to mechanical wear, and potential safety hazards in adverse weather conditions. To overcome these hurdles, Wireless Power Transfer (WPT) technology has emerged as a transformative solution, offering a contactless, autonomous, and inherently safer alternative for energy replenishment. </w:t>
      </w:r>
      <w:r>
        <w:t xml:space="preserve">This study provides a comprehensive modeling and performance analysis of a wireless EV charging system that utilizes high-frequency induction and supercapacitor storage. The proposed system architecture begins with a </w:t>
      </w:r>
    </w:p>
    <w:p w14:paraId="60C417B0" w14:textId="77777777" w:rsidR="00BD0135" w:rsidRDefault="00000000">
      <w:pPr>
        <w:spacing w:after="114"/>
        <w:ind w:left="-15" w:right="0" w:firstLine="288"/>
      </w:pPr>
      <w:r>
        <w:t xml:space="preserve">grid-supplied rectifier stage to establish a stable DC link, followed by a high-frequency inverter that drives the primary transmission coil. On the vehicle side, the induced AC signal is rectified and processed through a buck converter to ensure the voltage levels are precisely stepped down to meet the load requirements of the energy storage unit.   </w:t>
      </w:r>
    </w:p>
    <w:p w14:paraId="5DCDAC27" w14:textId="77777777" w:rsidR="00BD0135" w:rsidRDefault="00000000">
      <w:pPr>
        <w:spacing w:after="114"/>
        <w:ind w:left="-15" w:right="0" w:firstLine="288"/>
      </w:pPr>
      <w:r>
        <w:t xml:space="preserve">By utilizing MATLAB/Simulink for rigorous verification, this research aims to validate a simulation model that optimizes the mutual inductance between coils and enhances overall power transfer efficiency. The ultimate objective is to demonstrate a reliable, efficient charging framework that supports the next generation of resilient and contactless electric mobility. </w:t>
      </w:r>
    </w:p>
    <w:p w14:paraId="36523F9E" w14:textId="77777777" w:rsidR="00BD0135" w:rsidRDefault="00000000">
      <w:pPr>
        <w:spacing w:after="114"/>
        <w:ind w:left="-15" w:right="0" w:firstLine="288"/>
      </w:pPr>
      <w:r>
        <w:t xml:space="preserve">The global automotive landscape is undergoing a paradigm shift as the demand for sustainable transportation accelerates the adoption of electric vehicles (EVs). While traditional plug-in charging remains the standard, it is increasingly limited by the necessity for physical connections, susceptibility to mechanical wear, and potential safety risks in adverse environments. To overcome these hurdles, wireless power transfer (WPT) technology has emerged as a transformative solution, offering a </w:t>
      </w:r>
    </w:p>
    <w:p w14:paraId="0C5F5603" w14:textId="77777777" w:rsidR="00BD0135" w:rsidRDefault="00000000">
      <w:pPr>
        <w:spacing w:after="114"/>
        <w:ind w:left="-15" w:right="0" w:firstLine="288"/>
      </w:pPr>
      <w:r>
        <w:t xml:space="preserve">contactless and autonomous method for energy replenishment. This technology primarily utilizes inductive coupling between a stationary transmitter coil and a mobile receiver coil to transfer electrical energy through magnetic fields without direct contact. By integrating this wireless approach, the infrastructure becomes more resilient, paving the way for advanced applications such as dynamic on-road charging which can significantly extend the driving range of modern EVs.   </w:t>
      </w:r>
    </w:p>
    <w:p w14:paraId="40735AC0" w14:textId="77777777" w:rsidR="00BD0135" w:rsidRDefault="00000000">
      <w:pPr>
        <w:spacing w:after="114"/>
        <w:ind w:left="-15" w:right="0" w:firstLine="288"/>
      </w:pPr>
      <w:r>
        <w:lastRenderedPageBreak/>
        <w:t xml:space="preserve">The fundamental architecture of a wireless charging system involves a sophisticated multi-stage power conversion process designed to maximize transmission efficiency. On the transmitter side, low-frequency AC power from the grid is converted into a stable DC signal using a bridge rectifier and a smoothing DC link capacitor. This DC power is then processed by a high-frequency inverter to generate the AC signals required for electromagnetic induction. To ensure the system operates at peak resonance, primary compensation circuits are employed before the energy reaches the transmitter coil. The resulting time-varying magnetic field induces a voltage in the vehicle's receiver coil, effectively bridging the air gap between the ground and the chassis.   </w:t>
      </w:r>
    </w:p>
    <w:p w14:paraId="246D514B" w14:textId="77777777" w:rsidR="00BD0135" w:rsidRDefault="00000000">
      <w:pPr>
        <w:spacing w:after="114"/>
        <w:ind w:left="-15" w:right="0" w:firstLine="288"/>
      </w:pPr>
      <w:r>
        <w:t xml:space="preserve">Once the energy is captured by the receiver unit, it undergoes further conditioning to meet the specific requirements of the vehicle’s energy storage system. A secondary rectifier converts the induced high-frequency AC back into DC, which is then regulated by a buck converter. This converter steps down the voltage to an appropriate charging level, while an LC filter smooths the output to ensure a high-quality DC signal reaches the load. A critical innovation in this model is the replacement of conventional chemical batteries with supercapacitors as the primary load. Supercapacitors are uniquely suited for wireless charging due to their exceptionally high power density and ability to handle rapid charge and discharge cycles, which enhances overall system stability and reliability.   </w:t>
      </w:r>
    </w:p>
    <w:p w14:paraId="10D4600C" w14:textId="77777777" w:rsidR="00BD0135" w:rsidRDefault="00000000">
      <w:pPr>
        <w:spacing w:after="114"/>
        <w:ind w:left="-15" w:right="0" w:firstLine="288"/>
      </w:pPr>
      <w:r>
        <w:t xml:space="preserve">Mathematical modeling and simulation play a vital role in validating the performance of such high-power systems. In this research, the physical properties of the induction coils are calculated using Wheeler’s formula to determine selfinductance based on parameters like turn count, coil radius, and distance. For a target power output of 3.5 kW, the system is designed to operate at a frequency of 50 kHz with a calculated mutual inductance of 72 μH. Simulation results from MATLAB/Simulink confirm the theoretical design, demonstrating that the buck converter effectively maintains a 25\% duty cycle to provide a steady 48.05 V output. These findings verify that the integration of wireless power transfer with supercapacitor technology offers a robust and efficient framework for the future of electric mobility infrastructure. </w:t>
      </w:r>
    </w:p>
    <w:p w14:paraId="3E756FDF" w14:textId="77777777" w:rsidR="00BD0135" w:rsidRDefault="00000000">
      <w:pPr>
        <w:spacing w:after="182" w:line="259" w:lineRule="auto"/>
        <w:ind w:left="288" w:right="0" w:firstLine="0"/>
        <w:jc w:val="left"/>
      </w:pPr>
      <w:r>
        <w:t xml:space="preserve"> </w:t>
      </w:r>
    </w:p>
    <w:p w14:paraId="3A518ABD" w14:textId="77777777" w:rsidR="00BD0135" w:rsidRDefault="00000000">
      <w:pPr>
        <w:pStyle w:val="Heading1"/>
        <w:ind w:left="1803" w:hanging="1438"/>
      </w:pPr>
      <w:r>
        <w:rPr>
          <w:sz w:val="20"/>
        </w:rPr>
        <w:t>II.</w:t>
      </w:r>
      <w:r>
        <w:rPr>
          <w:rFonts w:ascii="Arial" w:eastAsia="Arial" w:hAnsi="Arial" w:cs="Arial"/>
          <w:sz w:val="20"/>
        </w:rPr>
        <w:t xml:space="preserve"> </w:t>
      </w:r>
      <w:r>
        <w:rPr>
          <w:rFonts w:ascii="Arial" w:eastAsia="Arial" w:hAnsi="Arial" w:cs="Arial"/>
          <w:sz w:val="20"/>
        </w:rPr>
        <w:tab/>
      </w:r>
      <w:r>
        <w:rPr>
          <w:sz w:val="20"/>
        </w:rPr>
        <w:t>S</w:t>
      </w:r>
      <w:r>
        <w:t xml:space="preserve">TATIONARY </w:t>
      </w:r>
      <w:r>
        <w:rPr>
          <w:sz w:val="20"/>
        </w:rPr>
        <w:t>W</w:t>
      </w:r>
      <w:r>
        <w:t xml:space="preserve">IRELESS </w:t>
      </w:r>
      <w:r>
        <w:rPr>
          <w:sz w:val="20"/>
        </w:rPr>
        <w:t>C</w:t>
      </w:r>
      <w:r>
        <w:t xml:space="preserve">HARGING WITH   </w:t>
      </w:r>
      <w:r>
        <w:rPr>
          <w:sz w:val="20"/>
        </w:rPr>
        <w:t>PV</w:t>
      </w:r>
      <w:r>
        <w:t xml:space="preserve"> </w:t>
      </w:r>
      <w:r>
        <w:rPr>
          <w:sz w:val="20"/>
        </w:rPr>
        <w:t>I</w:t>
      </w:r>
      <w:r>
        <w:t>NTEGRATION</w:t>
      </w:r>
      <w:r>
        <w:rPr>
          <w:sz w:val="20"/>
        </w:rPr>
        <w:t xml:space="preserve"> </w:t>
      </w:r>
    </w:p>
    <w:p w14:paraId="65444E7F" w14:textId="77777777" w:rsidR="00BD0135" w:rsidRDefault="00000000">
      <w:pPr>
        <w:ind w:left="-5" w:right="0"/>
      </w:pPr>
      <w:r>
        <w:t xml:space="preserve">Stationary wireless charging with photovoltaic (PV) integration is an emerging solution designed to enhance electric vehicle (EV) charging efficiency, safety, and sustainability. In this system, electric vehicles are charged without the need for physical cables, relying instead on inductive power transfer between a stationary ground‑mounted transmitter coil and a receiver coil integrated into the vehicle. When combined with photovoltaic energy generation, the system becomes more eco‑friendly, cost‑effective, and capable of supporting clean energy goals. </w:t>
      </w:r>
    </w:p>
    <w:p w14:paraId="0884562D" w14:textId="77777777" w:rsidR="00BD0135" w:rsidRDefault="00000000">
      <w:pPr>
        <w:ind w:left="-5" w:right="0"/>
      </w:pPr>
      <w:r>
        <w:t xml:space="preserve">The stationary wireless charging setup begins with power generation, typically from the electrical grid or a photovoltaic source. When PV panels are incorporated, solar energy is first converted into DC power and then conditioned using power electronic converters. This integration ensures that renewable energy directly contributes to EV charging, reducing dependency on </w:t>
      </w:r>
      <w:r>
        <w:t xml:space="preserve">fossil‑fuel-based grid electricity. After conditioning the DC power, a high‑frequency inverter converts it into high‑frequency AC, which is essential for efficient inductive coupling. </w:t>
      </w:r>
    </w:p>
    <w:p w14:paraId="57EAAF5F" w14:textId="77777777" w:rsidR="00BD0135" w:rsidRDefault="00000000">
      <w:pPr>
        <w:ind w:left="-5" w:right="0"/>
      </w:pPr>
      <w:r>
        <w:t xml:space="preserve">The primary coil (transmitter) installed at a fixed charging location generates an alternating magnetic field when energized. The secondary coil (receiver) mounted on the EV captures this magnetic field, inducing an AC voltage through mutual inductance. To ensure stable charging, the received AC is rectified back into DC using an uncontrolled rectifier, followed by a buck converter to regulate the charging voltage and current according to the EV’s requirements. Supercapacitors or EV batteries then store the energy, where supercapacitors are particularly useful for rapid charge–discharge cycles, enhanced system stability, and reducing transient stress on the electrical components. </w:t>
      </w:r>
    </w:p>
    <w:p w14:paraId="6156C419" w14:textId="77777777" w:rsidR="00BD0135" w:rsidRDefault="00000000">
      <w:pPr>
        <w:spacing w:after="185" w:line="259" w:lineRule="auto"/>
        <w:ind w:left="0" w:right="0" w:firstLine="0"/>
        <w:jc w:val="left"/>
      </w:pPr>
      <w:r>
        <w:t xml:space="preserve"> </w:t>
      </w:r>
    </w:p>
    <w:p w14:paraId="58ADE532" w14:textId="77777777" w:rsidR="00BD0135" w:rsidRDefault="00000000">
      <w:pPr>
        <w:pStyle w:val="Heading1"/>
        <w:spacing w:after="135"/>
        <w:ind w:left="1930" w:hanging="1517"/>
      </w:pPr>
      <w:r>
        <w:rPr>
          <w:sz w:val="20"/>
        </w:rPr>
        <w:t>III.</w:t>
      </w:r>
      <w:r>
        <w:rPr>
          <w:rFonts w:ascii="Arial" w:eastAsia="Arial" w:hAnsi="Arial" w:cs="Arial"/>
          <w:sz w:val="20"/>
        </w:rPr>
        <w:t xml:space="preserve"> </w:t>
      </w:r>
      <w:r>
        <w:rPr>
          <w:rFonts w:ascii="Arial" w:eastAsia="Arial" w:hAnsi="Arial" w:cs="Arial"/>
          <w:sz w:val="20"/>
        </w:rPr>
        <w:tab/>
      </w:r>
      <w:r>
        <w:rPr>
          <w:sz w:val="20"/>
        </w:rPr>
        <w:t>T</w:t>
      </w:r>
      <w:r>
        <w:t xml:space="preserve">HERMAL </w:t>
      </w:r>
      <w:r>
        <w:rPr>
          <w:sz w:val="20"/>
        </w:rPr>
        <w:t>C</w:t>
      </w:r>
      <w:r>
        <w:t xml:space="preserve">HARACTERISTICS OF </w:t>
      </w:r>
      <w:r>
        <w:rPr>
          <w:sz w:val="20"/>
        </w:rPr>
        <w:t>M</w:t>
      </w:r>
      <w:r>
        <w:t xml:space="preserve">AGNETIC </w:t>
      </w:r>
      <w:r>
        <w:rPr>
          <w:sz w:val="20"/>
        </w:rPr>
        <w:t>C</w:t>
      </w:r>
      <w:r>
        <w:t>OUPLERS</w:t>
      </w:r>
      <w:r>
        <w:rPr>
          <w:sz w:val="20"/>
        </w:rPr>
        <w:t xml:space="preserve"> </w:t>
      </w:r>
    </w:p>
    <w:p w14:paraId="223EA182" w14:textId="77777777" w:rsidR="00BD0135" w:rsidRDefault="00000000">
      <w:pPr>
        <w:spacing w:after="163"/>
        <w:ind w:left="-5" w:right="0"/>
      </w:pPr>
      <w:r>
        <w:t xml:space="preserve">The magnetic coupler is one of the most important components in an inductive wireless EV charging system. It consists of the primary and secondary coils responsible for transferring electrical power through magnetic induction. During high-frequency operation, the magnetic couplers generate heat because of electrical and magnetic losses. Proper thermal analysis is necessary to improve efficiency, reliability, and lifespan of the wireless charging system. </w:t>
      </w:r>
    </w:p>
    <w:p w14:paraId="57C6B2BF" w14:textId="77777777" w:rsidR="00BD0135" w:rsidRDefault="00000000">
      <w:pPr>
        <w:spacing w:after="163"/>
        <w:ind w:left="-5" w:right="0"/>
      </w:pPr>
      <w:r>
        <w:t xml:space="preserve">Copper losses occur due to the resistance of the coil windings when current flows through them. </w:t>
      </w:r>
    </w:p>
    <w:p w14:paraId="7CC41DE7" w14:textId="77777777" w:rsidR="00BD0135" w:rsidRDefault="00000000">
      <w:pPr>
        <w:spacing w:after="286"/>
        <w:ind w:left="-5" w:right="0"/>
      </w:pPr>
      <w:r>
        <w:t xml:space="preserve">The copper loss is given by: </w:t>
      </w:r>
    </w:p>
    <w:p w14:paraId="0ABC22EE" w14:textId="77777777" w:rsidR="00BD0135" w:rsidRDefault="00000000">
      <w:pPr>
        <w:pStyle w:val="Heading1"/>
        <w:spacing w:after="101" w:line="259" w:lineRule="auto"/>
        <w:ind w:left="0" w:right="5" w:firstLine="0"/>
        <w:jc w:val="center"/>
      </w:pPr>
      <w:r>
        <w:rPr>
          <w:sz w:val="22"/>
        </w:rPr>
        <w:t>P</w:t>
      </w:r>
      <w:r>
        <w:t xml:space="preserve">cu </w:t>
      </w:r>
      <w:r>
        <w:rPr>
          <w:sz w:val="22"/>
        </w:rPr>
        <w:t>= I</w:t>
      </w:r>
      <w:r>
        <w:rPr>
          <w:sz w:val="28"/>
        </w:rPr>
        <w:t>²</w:t>
      </w:r>
      <w:r>
        <w:rPr>
          <w:sz w:val="22"/>
        </w:rPr>
        <w:t xml:space="preserve"> R </w:t>
      </w:r>
    </w:p>
    <w:p w14:paraId="6E94A940" w14:textId="77777777" w:rsidR="00BD0135" w:rsidRDefault="00000000">
      <w:pPr>
        <w:spacing w:after="162"/>
        <w:ind w:left="-5" w:right="0"/>
      </w:pPr>
      <w:r>
        <w:t xml:space="preserve">where </w:t>
      </w:r>
      <w:r>
        <w:rPr>
          <w:sz w:val="22"/>
        </w:rPr>
        <w:t>P</w:t>
      </w:r>
      <w:r>
        <w:rPr>
          <w:sz w:val="18"/>
        </w:rPr>
        <w:t>cu</w:t>
      </w:r>
      <w:r>
        <w:t xml:space="preserve"> represents copper loss, I is the current flowing through the coil, and R is the resistance of the winding. At high operating frequencies, the effective resistance of the conductor increases due to skin effect and proximity effect, resulting in additional heat generation within the coils. </w:t>
      </w:r>
    </w:p>
    <w:p w14:paraId="582DDD35" w14:textId="77777777" w:rsidR="00BD0135" w:rsidRDefault="00000000">
      <w:pPr>
        <w:spacing w:after="72"/>
        <w:ind w:left="-5" w:right="0"/>
      </w:pPr>
      <w:r>
        <w:t xml:space="preserve">Another important source of heat is core loss, which occurs in the ferrite core materials because of alternating magnetic fields. Core losses mainly consist of hysteresis loss and eddy current loss. These losses can be approximated using the following relation: </w:t>
      </w:r>
    </w:p>
    <w:p w14:paraId="728C15E3" w14:textId="77777777" w:rsidR="00BD0135" w:rsidRDefault="00000000">
      <w:pPr>
        <w:spacing w:after="0" w:line="259" w:lineRule="auto"/>
        <w:ind w:left="526" w:right="0" w:firstLine="0"/>
        <w:jc w:val="center"/>
      </w:pPr>
      <w:r>
        <w:rPr>
          <w:sz w:val="18"/>
        </w:rPr>
        <w:t xml:space="preserve">α </w:t>
      </w:r>
      <w:r>
        <w:rPr>
          <w:sz w:val="25"/>
          <w:vertAlign w:val="superscript"/>
        </w:rPr>
        <w:t>β</w:t>
      </w:r>
    </w:p>
    <w:p w14:paraId="0330AB4A" w14:textId="77777777" w:rsidR="00BD0135" w:rsidRDefault="00000000">
      <w:pPr>
        <w:pStyle w:val="Heading2"/>
        <w:spacing w:after="5" w:line="259" w:lineRule="auto"/>
        <w:ind w:left="124" w:right="118"/>
        <w:jc w:val="center"/>
      </w:pPr>
      <w:r>
        <w:rPr>
          <w:sz w:val="20"/>
        </w:rPr>
        <w:t>P</w:t>
      </w:r>
      <w:r>
        <w:t xml:space="preserve">core </w:t>
      </w:r>
      <w:r>
        <w:rPr>
          <w:sz w:val="20"/>
        </w:rPr>
        <w:t xml:space="preserve">= Kf B </w:t>
      </w:r>
      <w:r>
        <w:t>max</w:t>
      </w:r>
      <w:r>
        <w:rPr>
          <w:sz w:val="20"/>
        </w:rPr>
        <w:t xml:space="preserve"> </w:t>
      </w:r>
    </w:p>
    <w:p w14:paraId="7D27F93D" w14:textId="77777777" w:rsidR="00BD0135" w:rsidRDefault="00000000">
      <w:pPr>
        <w:spacing w:after="0" w:line="259" w:lineRule="auto"/>
        <w:ind w:left="44" w:right="0" w:firstLine="0"/>
        <w:jc w:val="center"/>
      </w:pPr>
      <w:r>
        <w:t xml:space="preserve"> </w:t>
      </w:r>
    </w:p>
    <w:p w14:paraId="0191A4AF" w14:textId="77777777" w:rsidR="00BD0135" w:rsidRDefault="00000000">
      <w:pPr>
        <w:ind w:left="-5" w:right="0"/>
      </w:pPr>
      <w:r>
        <w:t>where P</w:t>
      </w:r>
      <w:r>
        <w:rPr>
          <w:sz w:val="16"/>
        </w:rPr>
        <w:t>core</w:t>
      </w:r>
      <w:r>
        <w:t xml:space="preserve"> is the core loss, f is the operating frequency, B</w:t>
      </w:r>
      <w:r>
        <w:rPr>
          <w:sz w:val="16"/>
        </w:rPr>
        <w:t>max</w:t>
      </w:r>
      <w:r>
        <w:t xml:space="preserve"> is the maximum magnetic flux density, and K, α and β are material-dependent constants. As the switching frequency increases, the core temperature also increases because of higher magnetic losses. </w:t>
      </w:r>
    </w:p>
    <w:p w14:paraId="4B677A02" w14:textId="77777777" w:rsidR="00BD0135" w:rsidRDefault="00000000">
      <w:pPr>
        <w:spacing w:after="0" w:line="259" w:lineRule="auto"/>
        <w:ind w:left="0" w:right="0" w:firstLine="0"/>
        <w:jc w:val="left"/>
      </w:pPr>
      <w:r>
        <w:t xml:space="preserve"> </w:t>
      </w:r>
    </w:p>
    <w:p w14:paraId="5BC06D8D" w14:textId="77777777" w:rsidR="00BD0135" w:rsidRDefault="00000000">
      <w:pPr>
        <w:ind w:left="-5" w:right="0"/>
      </w:pPr>
      <w:r>
        <w:t xml:space="preserve">Eddy current loss is another factor contributing to heat generation in magnetic couplers. Eddy currents are circulating currents induced in nearby conductive materials due to varying magnetic fields, and they produce unwanted heating effects. Eddy current loss is proportional to: </w:t>
      </w:r>
    </w:p>
    <w:p w14:paraId="0037A2D4" w14:textId="77777777" w:rsidR="00BD0135" w:rsidRDefault="00000000">
      <w:pPr>
        <w:spacing w:after="0" w:line="259" w:lineRule="auto"/>
        <w:ind w:left="0" w:right="0" w:firstLine="0"/>
        <w:jc w:val="left"/>
      </w:pPr>
      <w:r>
        <w:t xml:space="preserve"> </w:t>
      </w:r>
    </w:p>
    <w:p w14:paraId="716E4201" w14:textId="77777777" w:rsidR="00BD0135" w:rsidRDefault="00000000">
      <w:pPr>
        <w:spacing w:after="0" w:line="259" w:lineRule="auto"/>
        <w:ind w:right="8"/>
        <w:jc w:val="center"/>
      </w:pPr>
      <w:r>
        <w:t>P</w:t>
      </w:r>
      <w:r>
        <w:rPr>
          <w:sz w:val="16"/>
        </w:rPr>
        <w:t>e</w:t>
      </w:r>
      <w:r>
        <w:rPr>
          <w:rFonts w:ascii="SimSun" w:eastAsia="SimSun" w:hAnsi="SimSun" w:cs="SimSun"/>
        </w:rPr>
        <w:t>∝</w:t>
      </w:r>
      <w:r>
        <w:t xml:space="preserve"> B</w:t>
      </w:r>
      <w:r>
        <w:rPr>
          <w:sz w:val="13"/>
        </w:rPr>
        <w:t xml:space="preserve">2 </w:t>
      </w:r>
      <w:r>
        <w:t>f</w:t>
      </w:r>
      <w:r>
        <w:rPr>
          <w:sz w:val="13"/>
        </w:rPr>
        <w:t xml:space="preserve">2 </w:t>
      </w:r>
      <w:r>
        <w:t>t</w:t>
      </w:r>
      <w:r>
        <w:rPr>
          <w:sz w:val="13"/>
        </w:rPr>
        <w:t>2</w:t>
      </w:r>
      <w:r>
        <w:t xml:space="preserve"> </w:t>
      </w:r>
    </w:p>
    <w:p w14:paraId="2DE719E6" w14:textId="77777777" w:rsidR="00BD0135" w:rsidRDefault="00000000">
      <w:pPr>
        <w:spacing w:after="0" w:line="259" w:lineRule="auto"/>
        <w:ind w:left="0" w:right="0" w:firstLine="0"/>
        <w:jc w:val="left"/>
      </w:pPr>
      <w:r>
        <w:t xml:space="preserve"> </w:t>
      </w:r>
    </w:p>
    <w:p w14:paraId="15D9663F" w14:textId="77777777" w:rsidR="00BD0135" w:rsidRDefault="00000000">
      <w:pPr>
        <w:ind w:left="-5" w:right="0"/>
      </w:pPr>
      <w:r>
        <w:lastRenderedPageBreak/>
        <w:t xml:space="preserve">where B is the magnetic flux density, f is the operating frequency, and t is the thickness of the conductor material. Higher frequency and flux density increase the eddy current losses significantly. </w:t>
      </w:r>
    </w:p>
    <w:p w14:paraId="5034429F" w14:textId="77777777" w:rsidR="00BD0135" w:rsidRDefault="00000000">
      <w:pPr>
        <w:spacing w:after="0" w:line="259" w:lineRule="auto"/>
        <w:ind w:left="0" w:right="0" w:firstLine="0"/>
        <w:jc w:val="left"/>
      </w:pPr>
      <w:r>
        <w:t xml:space="preserve"> </w:t>
      </w:r>
    </w:p>
    <w:p w14:paraId="7FECAF64" w14:textId="77777777" w:rsidR="00BD0135" w:rsidRDefault="00000000">
      <w:pPr>
        <w:ind w:left="-5" w:right="0"/>
      </w:pPr>
      <w:r>
        <w:t xml:space="preserve">The heat generated due to these losses causes temperature rise in the coils and ferrite core of the magnetic coupler. Excessive temperature rise can reduce insulation life, decrease efficiency, damage ferrite materials, and reduce magnetic coupling performance. The temperature rise can be estimated using the relation: </w:t>
      </w:r>
    </w:p>
    <w:p w14:paraId="3611832B" w14:textId="77777777" w:rsidR="00BD0135" w:rsidRDefault="00000000">
      <w:pPr>
        <w:spacing w:after="0" w:line="259" w:lineRule="auto"/>
        <w:ind w:left="44" w:right="0" w:firstLine="0"/>
        <w:jc w:val="center"/>
      </w:pPr>
      <w:r>
        <w:t xml:space="preserve"> </w:t>
      </w:r>
    </w:p>
    <w:p w14:paraId="58E1DB91" w14:textId="77777777" w:rsidR="00BD0135" w:rsidRDefault="00000000">
      <w:pPr>
        <w:spacing w:after="0" w:line="259" w:lineRule="auto"/>
        <w:ind w:right="51"/>
        <w:jc w:val="center"/>
      </w:pPr>
      <w:r>
        <w:t>ΔT=P</w:t>
      </w:r>
      <w:r>
        <w:rPr>
          <w:sz w:val="14"/>
        </w:rPr>
        <w:t>loss</w:t>
      </w:r>
      <w:r>
        <w:t xml:space="preserve"> x R</w:t>
      </w:r>
      <w:r>
        <w:rPr>
          <w:sz w:val="16"/>
        </w:rPr>
        <w:t>th</w:t>
      </w:r>
      <w:r>
        <w:t xml:space="preserve"> </w:t>
      </w:r>
    </w:p>
    <w:p w14:paraId="6BB1266F" w14:textId="77777777" w:rsidR="00BD0135" w:rsidRDefault="00000000">
      <w:pPr>
        <w:spacing w:after="0" w:line="259" w:lineRule="auto"/>
        <w:ind w:left="0" w:right="0" w:firstLine="0"/>
        <w:jc w:val="center"/>
      </w:pPr>
      <w:r>
        <w:t xml:space="preserve"> </w:t>
      </w:r>
    </w:p>
    <w:p w14:paraId="061C6B96" w14:textId="77777777" w:rsidR="00BD0135" w:rsidRDefault="00000000">
      <w:pPr>
        <w:ind w:left="-5" w:right="0"/>
      </w:pPr>
      <w:r>
        <w:t>where ΔT is the temperature rise, P</w:t>
      </w:r>
      <w:r>
        <w:rPr>
          <w:sz w:val="14"/>
        </w:rPr>
        <w:t>loss</w:t>
      </w:r>
      <w:r>
        <w:t xml:space="preserve"> is the total power loss, and R</w:t>
      </w:r>
      <w:r>
        <w:rPr>
          <w:sz w:val="16"/>
        </w:rPr>
        <w:t>th</w:t>
      </w:r>
      <w:r>
        <w:t xml:space="preserve"> is the thermal resistance of the system. </w:t>
      </w:r>
    </w:p>
    <w:p w14:paraId="0B580554" w14:textId="77777777" w:rsidR="00BD0135" w:rsidRDefault="00000000">
      <w:pPr>
        <w:spacing w:after="0" w:line="259" w:lineRule="auto"/>
        <w:ind w:left="0" w:right="0" w:firstLine="0"/>
        <w:jc w:val="left"/>
      </w:pPr>
      <w:r>
        <w:t xml:space="preserve"> </w:t>
      </w:r>
    </w:p>
    <w:p w14:paraId="4AD124F5" w14:textId="77777777" w:rsidR="00BD0135" w:rsidRDefault="00000000">
      <w:pPr>
        <w:ind w:left="-5" w:right="0"/>
      </w:pPr>
      <w:r>
        <w:t xml:space="preserve">To minimize heating effects and improve system performance, several thermal management techniques are used in wireless EV charging systems. Litz wire is commonly used to reduce skin effect and proximity effect losses at high frequencies. Ferrite shielding helps guide magnetic flux effectively and reduces leakage losses. Maintaining proper coil spacing and optimum air gap improves efficiency while reducing unnecessary heating. Cooling systems such as air cooling or liquid cooling are also employed to maintain safe operating temperatures. Additionally, materials with high thermal conductivity are selected to improve heat dissipation. </w:t>
      </w:r>
    </w:p>
    <w:p w14:paraId="5483A2BE" w14:textId="77777777" w:rsidR="00BD0135" w:rsidRDefault="00000000">
      <w:pPr>
        <w:spacing w:after="0" w:line="259" w:lineRule="auto"/>
        <w:ind w:left="0" w:right="0" w:firstLine="0"/>
        <w:jc w:val="left"/>
      </w:pPr>
      <w:r>
        <w:t xml:space="preserve"> </w:t>
      </w:r>
    </w:p>
    <w:p w14:paraId="590747C3" w14:textId="77777777" w:rsidR="00BD0135" w:rsidRDefault="00000000">
      <w:pPr>
        <w:ind w:left="-5" w:right="0"/>
      </w:pPr>
      <w:r>
        <w:t xml:space="preserve">Thermal analysis of magnetic couplers is highly important in wireless EV charging because these systems operate at high power and high frequencies. Proper thermal management improves power transfer efficiency, increases system reliability, prevents overheating, enhances the lifespan of coils and components, and enables safe fastcharging operation. Therefore, thermal characteristics play a major role in the design, optimization, and long-term performance of wireless EV charging systems. </w:t>
      </w:r>
    </w:p>
    <w:p w14:paraId="0758DD88" w14:textId="77777777" w:rsidR="00BD0135" w:rsidRDefault="00000000">
      <w:pPr>
        <w:spacing w:after="168" w:line="259" w:lineRule="auto"/>
        <w:ind w:left="0" w:right="0" w:firstLine="0"/>
        <w:jc w:val="left"/>
      </w:pPr>
      <w:r>
        <w:t xml:space="preserve"> </w:t>
      </w:r>
    </w:p>
    <w:p w14:paraId="77376E23" w14:textId="77777777" w:rsidR="00BD0135" w:rsidRDefault="00000000">
      <w:pPr>
        <w:pStyle w:val="Heading2"/>
        <w:spacing w:after="137"/>
        <w:ind w:left="1900" w:hanging="1901"/>
      </w:pPr>
      <w:r>
        <w:rPr>
          <w:sz w:val="20"/>
        </w:rPr>
        <w:t>IV.</w:t>
      </w:r>
      <w:r>
        <w:rPr>
          <w:rFonts w:ascii="Arial" w:eastAsia="Arial" w:hAnsi="Arial" w:cs="Arial"/>
          <w:sz w:val="20"/>
        </w:rPr>
        <w:t xml:space="preserve"> </w:t>
      </w:r>
      <w:r>
        <w:rPr>
          <w:sz w:val="20"/>
        </w:rPr>
        <w:t>H</w:t>
      </w:r>
      <w:r>
        <w:t xml:space="preserve">ARMONIC </w:t>
      </w:r>
      <w:r>
        <w:rPr>
          <w:sz w:val="20"/>
        </w:rPr>
        <w:t>A</w:t>
      </w:r>
      <w:r>
        <w:t xml:space="preserve">PPROXIMATION IN </w:t>
      </w:r>
      <w:r>
        <w:rPr>
          <w:sz w:val="20"/>
        </w:rPr>
        <w:t>D</w:t>
      </w:r>
      <w:r>
        <w:t xml:space="preserve">YNAMIC </w:t>
      </w:r>
      <w:r>
        <w:rPr>
          <w:sz w:val="20"/>
        </w:rPr>
        <w:t>W</w:t>
      </w:r>
      <w:r>
        <w:t xml:space="preserve">IRELESS </w:t>
      </w:r>
      <w:r>
        <w:rPr>
          <w:sz w:val="20"/>
        </w:rPr>
        <w:t>C</w:t>
      </w:r>
      <w:r>
        <w:t>HARGING</w:t>
      </w:r>
      <w:r>
        <w:rPr>
          <w:sz w:val="20"/>
        </w:rPr>
        <w:t xml:space="preserve"> </w:t>
      </w:r>
    </w:p>
    <w:p w14:paraId="24893CB6" w14:textId="77777777" w:rsidR="00BD0135" w:rsidRDefault="00000000">
      <w:pPr>
        <w:spacing w:after="165"/>
        <w:ind w:left="-5" w:right="0"/>
      </w:pPr>
      <w:r>
        <w:t xml:space="preserve">In a dynamic wireless charging system for electric vehicles, harmonic approximation is an important aspect used to analyze the behavior of voltage and current waveforms during high-frequency wireless power transfer. In the proposed wireless EV charging system, the inverter converts the DC-link voltage into high-frequency AC power, which is transferred through magnetic coupling between the primary and secondary coils. Since the inverter switching operation produces non-sinusoidal waveforms, harmonic components are generated in the system. These harmonics may increase switching losses, heating effects, electromagnetic interference (EMI), and reduce overall system efficiency. </w:t>
      </w:r>
    </w:p>
    <w:p w14:paraId="3FEADFAB" w14:textId="77777777" w:rsidR="00BD0135" w:rsidRDefault="00000000">
      <w:pPr>
        <w:spacing w:after="83"/>
        <w:ind w:left="-5" w:right="0"/>
      </w:pPr>
      <w:r>
        <w:t xml:space="preserve">Harmonic approximation is used to represent these complex non-sinusoidal waveforms as a combination of sinusoidal components using Fourier analysis. The output voltage waveform of the high-frequency inverter can be approximated as a sum of fundamental and harmonic components.  </w:t>
      </w:r>
    </w:p>
    <w:p w14:paraId="30937CE3" w14:textId="77777777" w:rsidR="00BD0135" w:rsidRDefault="00000000">
      <w:pPr>
        <w:ind w:left="-5" w:right="0"/>
      </w:pPr>
      <w:r>
        <w:t xml:space="preserve">In dynamic wireless charging, harmonic approximation helps in analyzing the effect of coil misalignment, switching </w:t>
      </w:r>
      <w:r>
        <w:t xml:space="preserve">frequency variation, and magnetic coupling changes during vehicle motion.  </w:t>
      </w:r>
    </w:p>
    <w:p w14:paraId="252ADB2C" w14:textId="77777777" w:rsidR="00BD0135" w:rsidRDefault="00000000">
      <w:pPr>
        <w:spacing w:after="0" w:line="259" w:lineRule="auto"/>
        <w:ind w:left="0" w:right="0" w:firstLine="0"/>
        <w:jc w:val="center"/>
      </w:pPr>
      <w:r>
        <w:t xml:space="preserve"> </w:t>
      </w:r>
    </w:p>
    <w:p w14:paraId="7826DE21" w14:textId="77777777" w:rsidR="00BD0135" w:rsidRDefault="00000000">
      <w:pPr>
        <w:ind w:left="-5" w:right="0"/>
      </w:pPr>
      <w:r>
        <w:t xml:space="preserve">The LC filter used in the receiver side of the proposed system helps reduce harmonic distortion and smooth the output voltage supplied to the supercapacitor load. Proper harmonic analysis and filtering improve system stability, reduce heating in magnetic couplers, minimize electromagnetic interference, and enhance the efficiency of wireless EV charging systems. Therefore, harmonic approximation plays an important role in the modeling, analysis, and optimization of dynamic wireless charging systems for future electric vehicle applications. </w:t>
      </w:r>
    </w:p>
    <w:p w14:paraId="06248C35" w14:textId="77777777" w:rsidR="00BD0135" w:rsidRDefault="00000000">
      <w:pPr>
        <w:spacing w:after="167" w:line="259" w:lineRule="auto"/>
        <w:ind w:left="44" w:right="0" w:firstLine="0"/>
        <w:jc w:val="center"/>
      </w:pPr>
      <w:r>
        <w:t xml:space="preserve"> </w:t>
      </w:r>
    </w:p>
    <w:p w14:paraId="4323763D" w14:textId="77777777" w:rsidR="00BD0135" w:rsidRDefault="00000000">
      <w:pPr>
        <w:pStyle w:val="Heading2"/>
        <w:ind w:left="-1" w:firstLine="118"/>
      </w:pPr>
      <w:r>
        <w:rPr>
          <w:sz w:val="20"/>
        </w:rPr>
        <w:t>V.</w:t>
      </w:r>
      <w:r>
        <w:rPr>
          <w:rFonts w:ascii="Arial" w:eastAsia="Arial" w:hAnsi="Arial" w:cs="Arial"/>
          <w:sz w:val="20"/>
        </w:rPr>
        <w:t xml:space="preserve"> </w:t>
      </w:r>
      <w:r>
        <w:rPr>
          <w:sz w:val="20"/>
        </w:rPr>
        <w:t>S</w:t>
      </w:r>
      <w:r>
        <w:t xml:space="preserve">TOCHASTIC </w:t>
      </w:r>
      <w:r>
        <w:rPr>
          <w:sz w:val="20"/>
        </w:rPr>
        <w:t>G</w:t>
      </w:r>
      <w:r>
        <w:t xml:space="preserve">EOMETRY FOR </w:t>
      </w:r>
      <w:r>
        <w:rPr>
          <w:sz w:val="20"/>
        </w:rPr>
        <w:t>L</w:t>
      </w:r>
      <w:r>
        <w:t>ARGE</w:t>
      </w:r>
      <w:r>
        <w:rPr>
          <w:sz w:val="20"/>
        </w:rPr>
        <w:t>-S</w:t>
      </w:r>
      <w:r>
        <w:t xml:space="preserve">CALE </w:t>
      </w:r>
      <w:r>
        <w:rPr>
          <w:sz w:val="20"/>
        </w:rPr>
        <w:t>D</w:t>
      </w:r>
      <w:r>
        <w:t xml:space="preserve">YNAMIC </w:t>
      </w:r>
      <w:r>
        <w:rPr>
          <w:sz w:val="20"/>
        </w:rPr>
        <w:t>W</w:t>
      </w:r>
      <w:r>
        <w:t xml:space="preserve">IRELESS </w:t>
      </w:r>
      <w:r>
        <w:rPr>
          <w:sz w:val="20"/>
        </w:rPr>
        <w:t>C</w:t>
      </w:r>
      <w:r>
        <w:t xml:space="preserve">HARGING </w:t>
      </w:r>
      <w:r>
        <w:rPr>
          <w:sz w:val="20"/>
        </w:rPr>
        <w:t>D</w:t>
      </w:r>
      <w:r>
        <w:t>EPLOYMENT</w:t>
      </w:r>
      <w:r>
        <w:rPr>
          <w:sz w:val="20"/>
        </w:rPr>
        <w:t xml:space="preserve"> </w:t>
      </w:r>
    </w:p>
    <w:p w14:paraId="427BE9B6" w14:textId="77777777" w:rsidR="00BD0135" w:rsidRDefault="00000000">
      <w:pPr>
        <w:ind w:left="-5" w:right="0"/>
      </w:pPr>
      <w:r>
        <w:t xml:space="preserve">Stochastic geometry is a mathematical modeling approach used to analyze and optimize the large-scale deployment of dynamic wireless charging systems for electric vehicles (EVs). In wireless EV charging infrastructure, charging coils and vehicles are distributed randomly over roads and transportation networks. Stochastic geometry helps model this random spatial distribution and evaluates system performance parameters such as charging coverage, power transfer efficiency, vehicle connectivity, interference, and charging probability. In the proposed wireless EV charging system, stochastic geometry can be applied to study the behavior of multiple charging transmitters and moving EVs operating simultaneously in a large-scale environment. </w:t>
      </w:r>
    </w:p>
    <w:p w14:paraId="26C1C602" w14:textId="77777777" w:rsidR="00BD0135" w:rsidRDefault="00000000">
      <w:pPr>
        <w:spacing w:after="0" w:line="259" w:lineRule="auto"/>
        <w:ind w:left="0" w:right="0" w:firstLine="0"/>
        <w:jc w:val="left"/>
      </w:pPr>
      <w:r>
        <w:t xml:space="preserve"> </w:t>
      </w:r>
    </w:p>
    <w:p w14:paraId="72D5FADD" w14:textId="77777777" w:rsidR="00BD0135" w:rsidRDefault="00000000">
      <w:pPr>
        <w:ind w:left="-5" w:right="0"/>
      </w:pPr>
      <w:r>
        <w:t xml:space="preserve">In dynamic wireless charging, charging coils are embedded beneath road surfaces, allowing EVs to receive power while moving. Since vehicle movement and charging station placement are random in nature, stochastic geometry provides a probabilistic framework for analyzing the spatial distribution of charging nodes. The distribution of charging transmitters can be modeled using a Poisson Point Process (PPP), which is widely used in wireless network analysis. The probability density function for spatial node distribution is represented as: </w:t>
      </w:r>
    </w:p>
    <w:p w14:paraId="1605DCB6" w14:textId="77777777" w:rsidR="00BD0135" w:rsidRDefault="00000000">
      <w:pPr>
        <w:spacing w:after="0" w:line="259" w:lineRule="auto"/>
        <w:ind w:left="0" w:right="0" w:firstLine="0"/>
        <w:jc w:val="left"/>
      </w:pPr>
      <w:r>
        <w:t xml:space="preserve"> </w:t>
      </w:r>
    </w:p>
    <w:p w14:paraId="79F0DF4C" w14:textId="77777777" w:rsidR="00BD0135" w:rsidRDefault="00000000">
      <w:pPr>
        <w:spacing w:after="5" w:line="259" w:lineRule="auto"/>
        <w:ind w:left="969" w:right="6"/>
        <w:jc w:val="center"/>
      </w:pPr>
      <w:r>
        <w:rPr>
          <w:rFonts w:ascii="Cambria Math" w:eastAsia="Cambria Math" w:hAnsi="Cambria Math" w:cs="Cambria Math"/>
          <w:sz w:val="14"/>
        </w:rPr>
        <w:t>(𝜆𝐴)</w:t>
      </w:r>
      <w:r>
        <w:rPr>
          <w:rFonts w:ascii="Cambria Math" w:eastAsia="Cambria Math" w:hAnsi="Cambria Math" w:cs="Cambria Math"/>
          <w:sz w:val="12"/>
        </w:rPr>
        <w:t>𝑛</w:t>
      </w:r>
      <w:r>
        <w:rPr>
          <w:rFonts w:ascii="Cambria Math" w:eastAsia="Cambria Math" w:hAnsi="Cambria Math" w:cs="Cambria Math"/>
          <w:sz w:val="14"/>
        </w:rPr>
        <w:t xml:space="preserve"> 𝑒</w:t>
      </w:r>
      <w:r>
        <w:rPr>
          <w:rFonts w:ascii="Cambria Math" w:eastAsia="Cambria Math" w:hAnsi="Cambria Math" w:cs="Cambria Math"/>
          <w:sz w:val="12"/>
        </w:rPr>
        <w:t>−𝜆𝐴</w:t>
      </w:r>
    </w:p>
    <w:p w14:paraId="28B354C1" w14:textId="77777777" w:rsidR="00BD0135" w:rsidRDefault="00000000">
      <w:pPr>
        <w:tabs>
          <w:tab w:val="center" w:pos="1949"/>
          <w:tab w:val="center" w:pos="3214"/>
        </w:tabs>
        <w:spacing w:after="0" w:line="259" w:lineRule="auto"/>
        <w:ind w:left="0" w:right="0" w:firstLine="0"/>
        <w:jc w:val="left"/>
      </w:pPr>
      <w:r>
        <w:rPr>
          <w:rFonts w:ascii="Calibri" w:eastAsia="Calibri" w:hAnsi="Calibri" w:cs="Calibri"/>
          <w:sz w:val="22"/>
        </w:rPr>
        <w:tab/>
      </w:r>
      <w:r>
        <w:t xml:space="preserve">P (N = n) = </w:t>
      </w:r>
      <w:r>
        <w:tab/>
        <w:t xml:space="preserve"> </w:t>
      </w:r>
    </w:p>
    <w:p w14:paraId="02C74A8E" w14:textId="77777777" w:rsidR="00BD0135" w:rsidRDefault="00000000">
      <w:pPr>
        <w:spacing w:after="5" w:line="259" w:lineRule="auto"/>
        <w:ind w:left="969" w:right="0"/>
        <w:jc w:val="center"/>
      </w:pPr>
      <w:r>
        <w:rPr>
          <w:rFonts w:ascii="Cambria Math" w:eastAsia="Cambria Math" w:hAnsi="Cambria Math" w:cs="Cambria Math"/>
          <w:sz w:val="14"/>
        </w:rPr>
        <w:t>𝑛!</w:t>
      </w:r>
    </w:p>
    <w:p w14:paraId="3283E647" w14:textId="77777777" w:rsidR="00BD0135" w:rsidRDefault="00000000">
      <w:pPr>
        <w:spacing w:after="0" w:line="259" w:lineRule="auto"/>
        <w:ind w:left="0" w:right="0" w:firstLine="0"/>
        <w:jc w:val="left"/>
      </w:pPr>
      <w:r>
        <w:t xml:space="preserve"> </w:t>
      </w:r>
    </w:p>
    <w:p w14:paraId="09261095" w14:textId="77777777" w:rsidR="00BD0135" w:rsidRDefault="00000000">
      <w:pPr>
        <w:spacing w:after="0" w:line="259" w:lineRule="auto"/>
        <w:ind w:right="13"/>
        <w:jc w:val="center"/>
      </w:pPr>
      <w:r>
        <w:t xml:space="preserve">where P(N=n) represents the probability of finding n </w:t>
      </w:r>
    </w:p>
    <w:p w14:paraId="1456E5FE" w14:textId="77777777" w:rsidR="00BD0135" w:rsidRDefault="00000000">
      <w:pPr>
        <w:ind w:left="244" w:right="0" w:hanging="259"/>
      </w:pPr>
      <w:r>
        <w:t xml:space="preserve">charging nodes within area A, and λ is the spatial density of charging transmitters. This model helps analyze </w:t>
      </w:r>
    </w:p>
    <w:p w14:paraId="64C20E26" w14:textId="77777777" w:rsidR="00BD0135" w:rsidRDefault="00000000">
      <w:pPr>
        <w:ind w:left="1742" w:right="0" w:hanging="1757"/>
      </w:pPr>
      <w:r>
        <w:t xml:space="preserve">charging station deployment density and accessibility for moving EVs. </w:t>
      </w:r>
    </w:p>
    <w:p w14:paraId="03A5AF96" w14:textId="77777777" w:rsidR="00BD0135" w:rsidRDefault="00000000">
      <w:pPr>
        <w:spacing w:after="0" w:line="259" w:lineRule="auto"/>
        <w:ind w:left="44" w:right="0" w:firstLine="0"/>
        <w:jc w:val="center"/>
      </w:pPr>
      <w:r>
        <w:t xml:space="preserve"> </w:t>
      </w:r>
    </w:p>
    <w:p w14:paraId="064DB090" w14:textId="77777777" w:rsidR="00BD0135" w:rsidRDefault="00000000">
      <w:pPr>
        <w:spacing w:after="30"/>
        <w:ind w:left="-5" w:right="0"/>
      </w:pPr>
      <w:r>
        <w:t xml:space="preserve">The received charging power in wireless charging systems depends on the distance between transmitter and receiver coils. In stochastic geometry analysis, path loss and magnetic coupling variation due to vehicle movement are also considered. The received power can be approximated as: </w:t>
      </w:r>
    </w:p>
    <w:p w14:paraId="6D7B3816" w14:textId="77777777" w:rsidR="00BD0135" w:rsidRDefault="00000000">
      <w:pPr>
        <w:spacing w:after="16" w:line="259" w:lineRule="auto"/>
        <w:ind w:left="0" w:right="18" w:firstLine="0"/>
        <w:jc w:val="center"/>
      </w:pPr>
      <w:r>
        <w:t>P</w:t>
      </w:r>
      <w:r>
        <w:rPr>
          <w:sz w:val="13"/>
        </w:rPr>
        <w:t xml:space="preserve">r </w:t>
      </w:r>
      <w:r>
        <w:rPr>
          <w:rFonts w:ascii="Cambria Math" w:eastAsia="Cambria Math" w:hAnsi="Cambria Math" w:cs="Cambria Math"/>
        </w:rPr>
        <w:t xml:space="preserve">= </w:t>
      </w:r>
      <w:r>
        <w:t>P</w:t>
      </w:r>
      <w:r>
        <w:rPr>
          <w:sz w:val="13"/>
        </w:rPr>
        <w:t>t</w:t>
      </w:r>
      <w:r>
        <w:rPr>
          <w:rFonts w:ascii="Cambria Math" w:eastAsia="Cambria Math" w:hAnsi="Cambria Math" w:cs="Cambria Math"/>
        </w:rPr>
        <w:t>𝑑</w:t>
      </w:r>
      <w:r>
        <w:rPr>
          <w:rFonts w:ascii="Cambria Math" w:eastAsia="Cambria Math" w:hAnsi="Cambria Math" w:cs="Cambria Math"/>
          <w:sz w:val="14"/>
        </w:rPr>
        <w:t xml:space="preserve"> −𝛼</w:t>
      </w:r>
      <w:r>
        <w:rPr>
          <w:sz w:val="13"/>
        </w:rPr>
        <w:t xml:space="preserve"> </w:t>
      </w:r>
    </w:p>
    <w:p w14:paraId="2B23918A" w14:textId="77777777" w:rsidR="00BD0135" w:rsidRDefault="00000000">
      <w:pPr>
        <w:spacing w:after="0" w:line="259" w:lineRule="auto"/>
        <w:ind w:left="44" w:right="0" w:firstLine="0"/>
        <w:jc w:val="center"/>
      </w:pPr>
      <w:r>
        <w:t xml:space="preserve"> </w:t>
      </w:r>
    </w:p>
    <w:p w14:paraId="0E932431" w14:textId="77777777" w:rsidR="00BD0135" w:rsidRDefault="00000000">
      <w:pPr>
        <w:ind w:left="-5" w:right="0"/>
      </w:pPr>
      <w:r>
        <w:t>where P</w:t>
      </w:r>
      <w:r>
        <w:rPr>
          <w:vertAlign w:val="subscript"/>
        </w:rPr>
        <w:t>r</w:t>
      </w:r>
      <w:r>
        <w:t xml:space="preserve"> is the received power, P</w:t>
      </w:r>
      <w:r>
        <w:rPr>
          <w:vertAlign w:val="subscript"/>
        </w:rPr>
        <w:t>t</w:t>
      </w:r>
      <w:r>
        <w:t xml:space="preserve"> is the transmitted power, d is the distance between coils, and α is the path loss exponent. As the vehicle moves farther from the charging coil, the received power decreases, affecting charging efficiency. </w:t>
      </w:r>
    </w:p>
    <w:p w14:paraId="3DE02319" w14:textId="77777777" w:rsidR="00BD0135" w:rsidRDefault="00000000">
      <w:pPr>
        <w:spacing w:after="185" w:line="259" w:lineRule="auto"/>
        <w:ind w:left="0" w:right="0" w:firstLine="0"/>
        <w:jc w:val="left"/>
      </w:pPr>
      <w:r>
        <w:lastRenderedPageBreak/>
        <w:t xml:space="preserve"> </w:t>
      </w:r>
    </w:p>
    <w:p w14:paraId="7B5DEE48" w14:textId="77777777" w:rsidR="00BD44CD" w:rsidRDefault="00000000" w:rsidP="00BD44CD">
      <w:pPr>
        <w:pStyle w:val="Heading2"/>
        <w:spacing w:after="66" w:line="259" w:lineRule="auto"/>
        <w:ind w:left="10" w:right="33"/>
        <w:jc w:val="both"/>
        <w:rPr>
          <w:rFonts w:eastAsia="Arial"/>
          <w:sz w:val="20"/>
        </w:rPr>
      </w:pPr>
      <w:r>
        <w:rPr>
          <w:sz w:val="20"/>
        </w:rPr>
        <w:t>VI.</w:t>
      </w:r>
      <w:r>
        <w:rPr>
          <w:rFonts w:ascii="Arial" w:eastAsia="Arial" w:hAnsi="Arial" w:cs="Arial"/>
          <w:sz w:val="20"/>
        </w:rPr>
        <w:t xml:space="preserve"> </w:t>
      </w:r>
      <w:proofErr w:type="gramStart"/>
      <w:r w:rsidR="00BD44CD">
        <w:rPr>
          <w:rFonts w:eastAsia="Arial"/>
          <w:sz w:val="20"/>
        </w:rPr>
        <w:t>COMPREHENSIVE  MATHEMATICAL</w:t>
      </w:r>
      <w:proofErr w:type="gramEnd"/>
      <w:r w:rsidR="00BD44CD">
        <w:rPr>
          <w:rFonts w:eastAsia="Arial"/>
          <w:sz w:val="20"/>
        </w:rPr>
        <w:t xml:space="preserve"> MODELS</w:t>
      </w:r>
    </w:p>
    <w:p w14:paraId="597A1CDD" w14:textId="77777777" w:rsidR="00BD44CD" w:rsidRDefault="00BD44CD" w:rsidP="00BD44CD">
      <w:pPr>
        <w:pStyle w:val="Heading2"/>
        <w:spacing w:after="66" w:line="259" w:lineRule="auto"/>
        <w:ind w:left="10" w:right="33"/>
        <w:jc w:val="both"/>
        <w:rPr>
          <w:sz w:val="20"/>
        </w:rPr>
      </w:pPr>
      <w:r>
        <w:rPr>
          <w:sz w:val="20"/>
        </w:rPr>
        <w:t>AND TOPOLOGIES</w:t>
      </w:r>
    </w:p>
    <w:p w14:paraId="1C494163" w14:textId="53316B53" w:rsidR="00183327" w:rsidRPr="00BD44CD" w:rsidRDefault="00000000" w:rsidP="00BD44CD">
      <w:pPr>
        <w:spacing w:after="0" w:line="259" w:lineRule="auto"/>
        <w:ind w:left="0" w:right="294" w:firstLine="0"/>
        <w:rPr>
          <w:bCs/>
        </w:rPr>
      </w:pPr>
      <w:r w:rsidRPr="00BD44CD">
        <w:rPr>
          <w:bCs/>
        </w:rPr>
        <w:t>The proposed wireless EV charging system is based</w:t>
      </w:r>
      <w:r w:rsidR="00BD44CD" w:rsidRPr="00BD44CD">
        <w:rPr>
          <w:bCs/>
        </w:rPr>
        <w:t xml:space="preserve"> on</w:t>
      </w:r>
    </w:p>
    <w:p w14:paraId="67B64A53" w14:textId="1021E7AD" w:rsidR="00BD0135" w:rsidRPr="00BD44CD" w:rsidRDefault="00000000" w:rsidP="00BD44CD">
      <w:pPr>
        <w:spacing w:after="0" w:line="259" w:lineRule="auto"/>
        <w:ind w:left="0" w:right="294" w:firstLine="0"/>
        <w:rPr>
          <w:bCs/>
        </w:rPr>
      </w:pPr>
      <w:r w:rsidRPr="00BD44CD">
        <w:rPr>
          <w:bCs/>
        </w:rPr>
        <w:t xml:space="preserve"> inductive wireless power transfer (WPT) technology integrated with a supercapacitor energy storage system. The complete mathematical </w:t>
      </w:r>
      <w:proofErr w:type="spellStart"/>
      <w:r w:rsidRPr="00BD44CD">
        <w:rPr>
          <w:bCs/>
        </w:rPr>
        <w:t>modeling</w:t>
      </w:r>
      <w:proofErr w:type="spellEnd"/>
      <w:r w:rsidRPr="00BD44CD">
        <w:rPr>
          <w:bCs/>
        </w:rPr>
        <w:t xml:space="preserve"> includes analysis of the rectifier, inverter, inductive coupling system, buck converter, and energy storage unit. These mathematical models help analyze voltage, current, power transfer efficiency, harmonic behavior, and thermal characteristics of the charging system. </w:t>
      </w:r>
    </w:p>
    <w:p w14:paraId="574E507B" w14:textId="77777777" w:rsidR="00BD0135" w:rsidRPr="00BD44CD" w:rsidRDefault="00000000" w:rsidP="00BD44CD">
      <w:pPr>
        <w:spacing w:after="0" w:line="259" w:lineRule="auto"/>
        <w:ind w:left="0" w:right="294" w:firstLine="0"/>
        <w:rPr>
          <w:rFonts w:asciiTheme="minorHAnsi" w:hAnsiTheme="minorHAnsi" w:cstheme="minorHAnsi"/>
          <w:bCs/>
        </w:rPr>
      </w:pPr>
      <w:r w:rsidRPr="00BD44CD">
        <w:rPr>
          <w:rFonts w:asciiTheme="minorHAnsi" w:hAnsiTheme="minorHAnsi" w:cstheme="minorHAnsi"/>
          <w:bCs/>
        </w:rPr>
        <w:t xml:space="preserve"> </w:t>
      </w:r>
    </w:p>
    <w:p w14:paraId="0CFCB0BF" w14:textId="77777777" w:rsidR="00183327" w:rsidRPr="00BD44CD" w:rsidRDefault="00000000" w:rsidP="00BD44CD">
      <w:pPr>
        <w:spacing w:after="0" w:line="259" w:lineRule="auto"/>
        <w:ind w:left="0" w:right="294" w:firstLine="0"/>
        <w:rPr>
          <w:bCs/>
        </w:rPr>
      </w:pPr>
      <w:r w:rsidRPr="00BD44CD">
        <w:rPr>
          <w:bCs/>
        </w:rPr>
        <w:t>The input AC supply voltage is converted into DC</w:t>
      </w:r>
    </w:p>
    <w:p w14:paraId="2F36A17B" w14:textId="77777777" w:rsidR="00183327" w:rsidRPr="00BD44CD" w:rsidRDefault="00000000" w:rsidP="00BD44CD">
      <w:pPr>
        <w:spacing w:after="0" w:line="259" w:lineRule="auto"/>
        <w:ind w:left="0" w:right="294" w:firstLine="0"/>
        <w:rPr>
          <w:bCs/>
        </w:rPr>
      </w:pPr>
      <w:r w:rsidRPr="00BD44CD">
        <w:rPr>
          <w:bCs/>
        </w:rPr>
        <w:t xml:space="preserve"> voltage using a bridge rectifier. The peak input </w:t>
      </w:r>
    </w:p>
    <w:p w14:paraId="727261F6" w14:textId="55155A50" w:rsidR="00BD0135" w:rsidRPr="00BD44CD" w:rsidRDefault="00000000" w:rsidP="00BD44CD">
      <w:pPr>
        <w:spacing w:after="0" w:line="259" w:lineRule="auto"/>
        <w:ind w:left="0" w:right="294" w:firstLine="0"/>
        <w:rPr>
          <w:bCs/>
        </w:rPr>
      </w:pPr>
      <w:r w:rsidRPr="00BD44CD">
        <w:rPr>
          <w:bCs/>
        </w:rPr>
        <w:t xml:space="preserve">voltage is calculated as: </w:t>
      </w:r>
    </w:p>
    <w:p w14:paraId="29250E0F" w14:textId="77777777" w:rsidR="00BD0135" w:rsidRDefault="00000000">
      <w:pPr>
        <w:spacing w:after="0" w:line="259" w:lineRule="auto"/>
        <w:ind w:left="0" w:right="294" w:firstLine="0"/>
        <w:jc w:val="center"/>
      </w:pPr>
      <w:r>
        <w:t xml:space="preserve"> </w:t>
      </w:r>
    </w:p>
    <w:p w14:paraId="0D991A50" w14:textId="77777777" w:rsidR="00BD0135" w:rsidRDefault="00000000">
      <w:pPr>
        <w:spacing w:after="0" w:line="259" w:lineRule="auto"/>
        <w:ind w:right="351"/>
        <w:jc w:val="center"/>
      </w:pPr>
      <w:r>
        <w:t>V</w:t>
      </w:r>
      <w:r>
        <w:rPr>
          <w:sz w:val="18"/>
        </w:rPr>
        <w:t xml:space="preserve">s </w:t>
      </w:r>
      <w:r>
        <w:rPr>
          <w:noProof/>
        </w:rPr>
        <w:drawing>
          <wp:inline distT="0" distB="0" distL="0" distR="0" wp14:anchorId="715DADAF" wp14:editId="31DD1134">
            <wp:extent cx="987552" cy="131064"/>
            <wp:effectExtent l="0" t="0" r="0" b="0"/>
            <wp:docPr id="1026" name="Picture 12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826"/>
                    <pic:cNvPicPr/>
                  </pic:nvPicPr>
                  <pic:blipFill>
                    <a:blip r:embed="rId5" cstate="print"/>
                    <a:srcRect/>
                    <a:stretch/>
                  </pic:blipFill>
                  <pic:spPr>
                    <a:xfrm>
                      <a:off x="0" y="0"/>
                      <a:ext cx="987552" cy="131064"/>
                    </a:xfrm>
                    <a:prstGeom prst="rect">
                      <a:avLst/>
                    </a:prstGeom>
                  </pic:spPr>
                </pic:pic>
              </a:graphicData>
            </a:graphic>
          </wp:inline>
        </w:drawing>
      </w:r>
      <w:r>
        <w:rPr>
          <w:rFonts w:ascii="Cambria Math" w:eastAsia="Cambria Math" w:hAnsi="Cambria Math" w:cs="Cambria Math"/>
        </w:rPr>
        <w:t xml:space="preserve"> 𝑉</w:t>
      </w:r>
      <w:r>
        <w:t xml:space="preserve"> </w:t>
      </w:r>
    </w:p>
    <w:p w14:paraId="45931FC4" w14:textId="77777777" w:rsidR="00BD0135" w:rsidRDefault="00000000">
      <w:pPr>
        <w:spacing w:after="0" w:line="259" w:lineRule="auto"/>
        <w:ind w:left="0" w:right="294" w:firstLine="0"/>
        <w:jc w:val="center"/>
      </w:pPr>
      <w:r>
        <w:t xml:space="preserve"> </w:t>
      </w:r>
    </w:p>
    <w:p w14:paraId="38367E97" w14:textId="77777777" w:rsidR="00BD0135" w:rsidRDefault="00000000">
      <w:pPr>
        <w:ind w:left="-5" w:right="0"/>
      </w:pPr>
      <w:r>
        <w:t>where V</w:t>
      </w:r>
      <w:r>
        <w:rPr>
          <w:sz w:val="18"/>
        </w:rPr>
        <w:t>s</w:t>
      </w:r>
      <w:r>
        <w:t xml:space="preserve"> is the peak supply voltage. </w:t>
      </w:r>
    </w:p>
    <w:p w14:paraId="6DCDB087" w14:textId="77777777" w:rsidR="00BD44CD" w:rsidRDefault="00000000" w:rsidP="00183327">
      <w:pPr>
        <w:ind w:left="-5" w:right="0"/>
        <w:jc w:val="left"/>
      </w:pPr>
      <w:r>
        <w:t xml:space="preserve">The input current of the system is determined using </w:t>
      </w:r>
    </w:p>
    <w:p w14:paraId="1DA33F46" w14:textId="2E78DD47" w:rsidR="00BD0135" w:rsidRDefault="00000000" w:rsidP="00183327">
      <w:pPr>
        <w:ind w:left="-5" w:right="0"/>
        <w:jc w:val="left"/>
      </w:pPr>
      <w:r>
        <w:t xml:space="preserve">power relation: </w:t>
      </w:r>
    </w:p>
    <w:p w14:paraId="1ABF20CC" w14:textId="77777777" w:rsidR="00BD0135" w:rsidRDefault="00000000">
      <w:pPr>
        <w:spacing w:after="5" w:line="259" w:lineRule="auto"/>
        <w:ind w:left="969" w:right="1030"/>
        <w:jc w:val="center"/>
      </w:pPr>
      <w:r>
        <w:rPr>
          <w:rFonts w:ascii="Cambria Math" w:eastAsia="Cambria Math" w:hAnsi="Cambria Math" w:cs="Cambria Math"/>
          <w:sz w:val="14"/>
        </w:rPr>
        <w:t>𝑃</w:t>
      </w:r>
    </w:p>
    <w:p w14:paraId="3159E6B6" w14:textId="77777777" w:rsidR="00BD0135" w:rsidRDefault="00000000">
      <w:pPr>
        <w:spacing w:after="0" w:line="259" w:lineRule="auto"/>
        <w:ind w:right="488"/>
        <w:jc w:val="center"/>
      </w:pPr>
      <w:r>
        <w:t xml:space="preserve">I =  </w:t>
      </w:r>
    </w:p>
    <w:p w14:paraId="60F49B39" w14:textId="77777777" w:rsidR="00BD0135" w:rsidRDefault="00000000">
      <w:pPr>
        <w:spacing w:after="5" w:line="259" w:lineRule="auto"/>
        <w:ind w:left="969" w:right="1029"/>
        <w:jc w:val="center"/>
      </w:pPr>
      <w:r>
        <w:rPr>
          <w:rFonts w:ascii="Cambria Math" w:eastAsia="Cambria Math" w:hAnsi="Cambria Math" w:cs="Cambria Math"/>
          <w:sz w:val="14"/>
        </w:rPr>
        <w:t>𝑉</w:t>
      </w:r>
    </w:p>
    <w:p w14:paraId="22F3C202" w14:textId="77777777" w:rsidR="00BD0135" w:rsidRDefault="00000000">
      <w:pPr>
        <w:spacing w:after="0" w:line="259" w:lineRule="auto"/>
        <w:ind w:left="0" w:right="294" w:firstLine="0"/>
        <w:jc w:val="center"/>
      </w:pPr>
      <w:r>
        <w:t xml:space="preserve"> </w:t>
      </w:r>
    </w:p>
    <w:p w14:paraId="7C669A91" w14:textId="77777777" w:rsidR="00BD0135" w:rsidRDefault="00000000">
      <w:pPr>
        <w:ind w:left="-5" w:right="0"/>
      </w:pPr>
      <w:r>
        <w:t xml:space="preserve">For a power rating of 3.5 kW: </w:t>
      </w:r>
    </w:p>
    <w:p w14:paraId="0744B6B3" w14:textId="77777777" w:rsidR="00BD0135" w:rsidRDefault="00000000">
      <w:pPr>
        <w:spacing w:after="0" w:line="259" w:lineRule="auto"/>
        <w:ind w:left="0" w:right="294" w:firstLine="0"/>
        <w:jc w:val="center"/>
      </w:pPr>
      <w:r>
        <w:t xml:space="preserve"> </w:t>
      </w:r>
    </w:p>
    <w:p w14:paraId="7221949E" w14:textId="77777777" w:rsidR="00BD0135" w:rsidRDefault="00000000">
      <w:pPr>
        <w:spacing w:after="0" w:line="259" w:lineRule="auto"/>
        <w:ind w:right="346"/>
        <w:jc w:val="center"/>
      </w:pPr>
      <w:r>
        <w:t xml:space="preserve">I =  </w:t>
      </w:r>
      <w:r>
        <w:rPr>
          <w:noProof/>
        </w:rPr>
        <w:drawing>
          <wp:inline distT="0" distB="0" distL="0" distR="0" wp14:anchorId="08E9D0D6" wp14:editId="0CFD4629">
            <wp:extent cx="381000" cy="201168"/>
            <wp:effectExtent l="0" t="0" r="0" b="0"/>
            <wp:docPr id="1027" name="Picture 12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827"/>
                    <pic:cNvPicPr/>
                  </pic:nvPicPr>
                  <pic:blipFill>
                    <a:blip r:embed="rId6" cstate="print"/>
                    <a:srcRect/>
                    <a:stretch/>
                  </pic:blipFill>
                  <pic:spPr>
                    <a:xfrm>
                      <a:off x="0" y="0"/>
                      <a:ext cx="381000" cy="201168"/>
                    </a:xfrm>
                    <a:prstGeom prst="rect">
                      <a:avLst/>
                    </a:prstGeom>
                  </pic:spPr>
                </pic:pic>
              </a:graphicData>
            </a:graphic>
          </wp:inline>
        </w:drawing>
      </w:r>
      <w:r>
        <w:t xml:space="preserve"> = </w:t>
      </w:r>
      <w:r>
        <w:rPr>
          <w:sz w:val="18"/>
        </w:rPr>
        <w:t>10.03 A</w:t>
      </w:r>
      <w:r>
        <w:t xml:space="preserve"> </w:t>
      </w:r>
    </w:p>
    <w:p w14:paraId="0D4F55F5" w14:textId="77777777" w:rsidR="00BD0135" w:rsidRDefault="00000000">
      <w:pPr>
        <w:spacing w:after="0" w:line="259" w:lineRule="auto"/>
        <w:ind w:left="0" w:right="294" w:firstLine="0"/>
        <w:jc w:val="center"/>
      </w:pPr>
      <w:r>
        <w:rPr>
          <w:b/>
        </w:rPr>
        <w:t xml:space="preserve"> </w:t>
      </w:r>
    </w:p>
    <w:p w14:paraId="37A1427D" w14:textId="77777777" w:rsidR="00BD0135" w:rsidRDefault="00000000">
      <w:pPr>
        <w:ind w:left="-5" w:right="342"/>
      </w:pPr>
      <w:r>
        <w:t xml:space="preserve">The inductive wireless charging system transfers energy through mutual inductance between primary and secondary coils. The mutual inductance depends on coil geometry, spacing, and magnetic coupling coefficient. Selfinductance of the coil can be calculated using Wheeler’s formula: </w:t>
      </w:r>
    </w:p>
    <w:p w14:paraId="40808EE0" w14:textId="77777777" w:rsidR="00BD0135" w:rsidRDefault="00000000">
      <w:pPr>
        <w:spacing w:after="0" w:line="259" w:lineRule="auto"/>
        <w:ind w:left="0" w:right="64" w:firstLine="0"/>
        <w:jc w:val="center"/>
      </w:pPr>
      <w:r>
        <w:rPr>
          <w:rFonts w:ascii="Cambria Math" w:eastAsia="Cambria Math" w:hAnsi="Cambria Math" w:cs="Cambria Math"/>
          <w:sz w:val="14"/>
        </w:rPr>
        <w:t>𝑟</w:t>
      </w:r>
      <w:r>
        <w:rPr>
          <w:rFonts w:ascii="Cambria Math" w:eastAsia="Cambria Math" w:hAnsi="Cambria Math" w:cs="Cambria Math"/>
          <w:sz w:val="12"/>
        </w:rPr>
        <w:t>2</w:t>
      </w:r>
      <w:r>
        <w:rPr>
          <w:rFonts w:ascii="Cambria Math" w:eastAsia="Cambria Math" w:hAnsi="Cambria Math" w:cs="Cambria Math"/>
          <w:sz w:val="14"/>
        </w:rPr>
        <w:t>𝑁</w:t>
      </w:r>
      <w:r>
        <w:rPr>
          <w:rFonts w:ascii="Cambria Math" w:eastAsia="Cambria Math" w:hAnsi="Cambria Math" w:cs="Cambria Math"/>
          <w:sz w:val="12"/>
        </w:rPr>
        <w:t>2</w:t>
      </w:r>
    </w:p>
    <w:p w14:paraId="1EF5FC92" w14:textId="77777777" w:rsidR="00BD0135" w:rsidRDefault="00000000">
      <w:pPr>
        <w:spacing w:after="0" w:line="259" w:lineRule="auto"/>
        <w:ind w:right="294"/>
        <w:jc w:val="center"/>
      </w:pPr>
      <w:r>
        <w:t xml:space="preserve">L= </w:t>
      </w:r>
      <w:r>
        <w:rPr>
          <w:rFonts w:ascii="Calibri" w:eastAsia="Calibri" w:hAnsi="Calibri" w:cs="Calibri"/>
          <w:noProof/>
          <w:sz w:val="22"/>
        </w:rPr>
        <mc:AlternateContent>
          <mc:Choice Requires="wpg">
            <w:drawing>
              <wp:inline distT="0" distB="0" distL="0" distR="0" wp14:anchorId="6B795102" wp14:editId="2825A9D2">
                <wp:extent cx="300228" cy="7620"/>
                <wp:effectExtent l="0" t="0" r="0" b="0"/>
                <wp:docPr id="1028" name="Group 12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228" cy="7620"/>
                          <a:chOff x="0" y="0"/>
                          <a:chExt cx="300228" cy="7620"/>
                        </a:xfrm>
                      </wpg:grpSpPr>
                      <wps:wsp>
                        <wps:cNvPr id="123502504" name="Freeform: Shape 123502504"/>
                        <wps:cNvSpPr/>
                        <wps:spPr>
                          <a:xfrm>
                            <a:off x="0" y="0"/>
                            <a:ext cx="300228" cy="9144"/>
                          </a:xfrm>
                          <a:custGeom>
                            <a:avLst/>
                            <a:gdLst/>
                            <a:ahLst/>
                            <a:cxnLst/>
                            <a:rect l="l" t="t" r="r" b="b"/>
                            <a:pathLst>
                              <a:path w="300228" h="9144">
                                <a:moveTo>
                                  <a:pt x="0" y="0"/>
                                </a:moveTo>
                                <a:lnTo>
                                  <a:pt x="300228" y="0"/>
                                </a:lnTo>
                                <a:lnTo>
                                  <a:pt x="300228" y="9144"/>
                                </a:lnTo>
                                <a:lnTo>
                                  <a:pt x="0" y="9144"/>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inline>
            </w:drawing>
          </mc:Choice>
          <mc:Fallback xmlns:wpsCustomData="http://www.wps.cn/officeDocument/2013/wpsCustomData">
            <w:pict>
              <v:group id="1028" filled="f" stroked="f" style="margin-left:0.0pt;margin-top:0.0pt;width:23.64pt;height:0.6pt;mso-wrap-distance-left:0.0pt;mso-wrap-distance-right:0.0pt;visibility:visible;" coordsize="300228,7620">
                <v:shape id="1029" coordsize="300228,9144" path="m0,0l300228,0l300228,9144l0,9144l0,0e" fillcolor="black" stroked="t" style="position:absolute;left:0;top:0;width:300228;height:9144;z-index:2;mso-position-horizontal-relative:page;mso-position-vertical-relative:page;mso-width-relative:page;mso-height-relative:page;visibility:visible;">
                  <v:stroke joinstyle="miter" weight="0.0pt"/>
                  <v:fill/>
                  <v:path textboxrect="0,0,300228,9144" o:connectlocs=""/>
                </v:shape>
                <w10:anchorlock/>
                <v:fill rotate="true"/>
              </v:group>
            </w:pict>
          </mc:Fallback>
        </mc:AlternateContent>
      </w:r>
      <w:r>
        <w:t xml:space="preserve"> </w:t>
      </w:r>
    </w:p>
    <w:p w14:paraId="5DE734AB" w14:textId="77777777" w:rsidR="00BD0135" w:rsidRDefault="00000000">
      <w:pPr>
        <w:spacing w:after="5" w:line="259" w:lineRule="auto"/>
        <w:ind w:left="969" w:right="1021"/>
        <w:jc w:val="center"/>
      </w:pPr>
      <w:r>
        <w:rPr>
          <w:rFonts w:ascii="Cambria Math" w:eastAsia="Cambria Math" w:hAnsi="Cambria Math" w:cs="Cambria Math"/>
          <w:sz w:val="14"/>
        </w:rPr>
        <w:t>9𝑟+10𝑙</w:t>
      </w:r>
    </w:p>
    <w:p w14:paraId="09DC76D7" w14:textId="77777777" w:rsidR="00BD0135" w:rsidRDefault="00000000">
      <w:pPr>
        <w:spacing w:after="0" w:line="259" w:lineRule="auto"/>
        <w:ind w:left="0" w:right="294" w:firstLine="0"/>
        <w:jc w:val="center"/>
      </w:pPr>
      <w:r>
        <w:t xml:space="preserve"> </w:t>
      </w:r>
    </w:p>
    <w:p w14:paraId="69C7CD1A" w14:textId="77777777" w:rsidR="00BD0135" w:rsidRDefault="00000000" w:rsidP="00183327">
      <w:pPr>
        <w:ind w:left="-5" w:right="0"/>
        <w:jc w:val="left"/>
      </w:pPr>
      <w:r>
        <w:t xml:space="preserve">where L is the inductance, r is the coil radius, N is the number of turns, and l is the coil length. </w:t>
      </w:r>
    </w:p>
    <w:p w14:paraId="311444B9" w14:textId="77777777" w:rsidR="00BD0135" w:rsidRDefault="00000000">
      <w:pPr>
        <w:spacing w:after="170" w:line="259" w:lineRule="auto"/>
        <w:ind w:left="0" w:right="0" w:firstLine="0"/>
        <w:jc w:val="left"/>
      </w:pPr>
      <w:r>
        <w:t xml:space="preserve"> </w:t>
      </w:r>
    </w:p>
    <w:p w14:paraId="719D44B8" w14:textId="77777777" w:rsidR="00BD0135" w:rsidRDefault="00000000">
      <w:pPr>
        <w:pStyle w:val="Heading2"/>
        <w:ind w:left="394"/>
      </w:pPr>
      <w:r>
        <w:rPr>
          <w:sz w:val="20"/>
        </w:rPr>
        <w:t>VII.</w:t>
      </w:r>
      <w:r>
        <w:rPr>
          <w:rFonts w:ascii="Arial" w:eastAsia="Arial" w:hAnsi="Arial" w:cs="Arial"/>
          <w:sz w:val="20"/>
        </w:rPr>
        <w:t xml:space="preserve"> </w:t>
      </w:r>
      <w:r>
        <w:rPr>
          <w:sz w:val="20"/>
        </w:rPr>
        <w:t>C</w:t>
      </w:r>
      <w:r>
        <w:t xml:space="preserve">OMPARATIVE </w:t>
      </w:r>
      <w:r>
        <w:rPr>
          <w:sz w:val="20"/>
        </w:rPr>
        <w:t>I</w:t>
      </w:r>
      <w:r>
        <w:t xml:space="preserve">NSIGHTS AND </w:t>
      </w:r>
      <w:r>
        <w:rPr>
          <w:sz w:val="20"/>
        </w:rPr>
        <w:t>C</w:t>
      </w:r>
      <w:r>
        <w:t>HALLENGES</w:t>
      </w:r>
      <w:r>
        <w:rPr>
          <w:sz w:val="20"/>
        </w:rPr>
        <w:t xml:space="preserve"> </w:t>
      </w:r>
    </w:p>
    <w:p w14:paraId="39624D0B" w14:textId="77777777" w:rsidR="00BD0135" w:rsidRPr="00BD44CD" w:rsidRDefault="00000000" w:rsidP="00BD44CD">
      <w:pPr>
        <w:spacing w:after="0" w:line="259" w:lineRule="auto"/>
        <w:ind w:left="0" w:right="294" w:firstLine="0"/>
        <w:rPr>
          <w:bCs/>
        </w:rPr>
      </w:pPr>
      <w:r w:rsidRPr="00BD44CD">
        <w:rPr>
          <w:bCs/>
        </w:rPr>
        <w:t xml:space="preserve">Thermal management is critical for reliability. Liang et al. (2020) model the temperature characteristics of a WPT3 magnetic coupler (SAE J2954 compliant). A thermal circuit model based on Fourier’s law equates heat flow to current: </w:t>
      </w:r>
    </w:p>
    <w:p w14:paraId="15692A61" w14:textId="77777777" w:rsidR="00183327" w:rsidRDefault="00183327">
      <w:pPr>
        <w:ind w:left="-15" w:right="343" w:firstLine="288"/>
      </w:pPr>
    </w:p>
    <w:tbl>
      <w:tblPr>
        <w:tblStyle w:val="TableGrid"/>
        <w:tblW w:w="5019" w:type="dxa"/>
        <w:tblInd w:w="5" w:type="dxa"/>
        <w:tblCellMar>
          <w:top w:w="71" w:type="dxa"/>
          <w:left w:w="17" w:type="dxa"/>
        </w:tblCellMar>
        <w:tblLook w:val="04A0" w:firstRow="1" w:lastRow="0" w:firstColumn="1" w:lastColumn="0" w:noHBand="0" w:noVBand="1"/>
      </w:tblPr>
      <w:tblGrid>
        <w:gridCol w:w="988"/>
        <w:gridCol w:w="991"/>
        <w:gridCol w:w="992"/>
        <w:gridCol w:w="994"/>
        <w:gridCol w:w="1054"/>
      </w:tblGrid>
      <w:tr w:rsidR="00BD0135" w14:paraId="6BA88DE1" w14:textId="77777777" w:rsidTr="00183327">
        <w:trPr>
          <w:trHeight w:val="1190"/>
        </w:trPr>
        <w:tc>
          <w:tcPr>
            <w:tcW w:w="988" w:type="dxa"/>
            <w:tcBorders>
              <w:top w:val="single" w:sz="4" w:space="0" w:color="000000"/>
              <w:left w:val="single" w:sz="4" w:space="0" w:color="000000"/>
              <w:bottom w:val="single" w:sz="4" w:space="0" w:color="000000"/>
              <w:right w:val="single" w:sz="4" w:space="0" w:color="000000"/>
            </w:tcBorders>
            <w:vAlign w:val="center"/>
          </w:tcPr>
          <w:p w14:paraId="0B325EC3" w14:textId="77777777" w:rsidR="00BD0135" w:rsidRDefault="00000000">
            <w:pPr>
              <w:spacing w:after="0" w:line="259" w:lineRule="auto"/>
              <w:ind w:left="0" w:right="23" w:firstLine="0"/>
              <w:jc w:val="center"/>
            </w:pPr>
            <w:r>
              <w:rPr>
                <w:b/>
              </w:rPr>
              <w:t>Aspect</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66A286C" w14:textId="77777777" w:rsidR="00BD0135" w:rsidRDefault="00000000">
            <w:pPr>
              <w:spacing w:after="0" w:line="259" w:lineRule="auto"/>
              <w:ind w:left="26" w:right="0" w:firstLine="0"/>
            </w:pPr>
            <w:r>
              <w:rPr>
                <w:b/>
              </w:rPr>
              <w:t xml:space="preserve">Stationary </w:t>
            </w:r>
          </w:p>
          <w:p w14:paraId="519D78F2" w14:textId="77777777" w:rsidR="00BD0135" w:rsidRDefault="00000000">
            <w:pPr>
              <w:spacing w:after="0" w:line="259" w:lineRule="auto"/>
              <w:ind w:left="0" w:right="19" w:firstLine="0"/>
              <w:jc w:val="center"/>
            </w:pPr>
            <w:r>
              <w:rPr>
                <w:b/>
              </w:rPr>
              <w:t xml:space="preserve">(Islam </w:t>
            </w:r>
          </w:p>
          <w:p w14:paraId="2135C138" w14:textId="77777777" w:rsidR="00BD0135" w:rsidRDefault="00000000">
            <w:pPr>
              <w:spacing w:after="0" w:line="259" w:lineRule="auto"/>
              <w:ind w:left="0" w:right="18" w:firstLine="0"/>
              <w:jc w:val="center"/>
            </w:pPr>
            <w:r>
              <w:rPr>
                <w:b/>
              </w:rPr>
              <w:t xml:space="preserve">2025; </w:t>
            </w:r>
          </w:p>
          <w:p w14:paraId="26424B00" w14:textId="77777777" w:rsidR="00BD0135" w:rsidRDefault="00000000">
            <w:pPr>
              <w:spacing w:after="0" w:line="259" w:lineRule="auto"/>
              <w:ind w:left="0" w:right="16" w:firstLine="0"/>
              <w:jc w:val="center"/>
            </w:pPr>
            <w:r>
              <w:rPr>
                <w:b/>
              </w:rPr>
              <w:t xml:space="preserve">Shahin </w:t>
            </w:r>
          </w:p>
          <w:p w14:paraId="584407AE" w14:textId="77777777" w:rsidR="00BD0135" w:rsidRDefault="00000000">
            <w:pPr>
              <w:spacing w:after="0" w:line="259" w:lineRule="auto"/>
              <w:ind w:left="0" w:right="18" w:firstLine="0"/>
              <w:jc w:val="center"/>
            </w:pPr>
            <w:r>
              <w:rPr>
                <w:b/>
              </w:rPr>
              <w:t>2024)</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4E77F65" w14:textId="77777777" w:rsidR="00BD0135" w:rsidRDefault="00000000">
            <w:pPr>
              <w:spacing w:after="0" w:line="259" w:lineRule="auto"/>
              <w:ind w:left="94" w:right="0" w:firstLine="0"/>
              <w:jc w:val="left"/>
            </w:pPr>
            <w:r>
              <w:rPr>
                <w:b/>
              </w:rPr>
              <w:t xml:space="preserve">Dynamic </w:t>
            </w:r>
          </w:p>
          <w:p w14:paraId="000F0FBA" w14:textId="77777777" w:rsidR="00BD0135" w:rsidRDefault="00000000">
            <w:pPr>
              <w:spacing w:after="2" w:line="237" w:lineRule="auto"/>
              <w:ind w:left="0" w:right="0" w:firstLine="0"/>
              <w:jc w:val="center"/>
            </w:pPr>
            <w:r>
              <w:rPr>
                <w:b/>
              </w:rPr>
              <w:t xml:space="preserve">(Quirós 2024; </w:t>
            </w:r>
          </w:p>
          <w:p w14:paraId="5CDAF15D" w14:textId="77777777" w:rsidR="00BD0135" w:rsidRDefault="00000000">
            <w:pPr>
              <w:spacing w:after="0" w:line="259" w:lineRule="auto"/>
              <w:ind w:left="151" w:right="0" w:firstLine="0"/>
              <w:jc w:val="left"/>
            </w:pPr>
            <w:r>
              <w:rPr>
                <w:b/>
              </w:rPr>
              <w:t xml:space="preserve">Nguyen </w:t>
            </w:r>
          </w:p>
          <w:p w14:paraId="566A6FBA" w14:textId="77777777" w:rsidR="00BD0135" w:rsidRDefault="00000000">
            <w:pPr>
              <w:spacing w:after="0" w:line="259" w:lineRule="auto"/>
              <w:ind w:left="0" w:right="19" w:firstLine="0"/>
              <w:jc w:val="center"/>
            </w:pPr>
            <w:r>
              <w:rPr>
                <w:b/>
              </w:rPr>
              <w:t>2021)</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4C4D0C1C" w14:textId="77777777" w:rsidR="00BD0135" w:rsidRDefault="00000000">
            <w:pPr>
              <w:spacing w:after="0" w:line="259" w:lineRule="auto"/>
              <w:ind w:left="108" w:right="0" w:firstLine="0"/>
              <w:jc w:val="left"/>
            </w:pPr>
            <w:r>
              <w:rPr>
                <w:b/>
              </w:rPr>
              <w:t xml:space="preserve">Thermal </w:t>
            </w:r>
          </w:p>
          <w:p w14:paraId="42D66A55" w14:textId="77777777" w:rsidR="00BD0135" w:rsidRDefault="00000000">
            <w:pPr>
              <w:spacing w:after="0" w:line="259" w:lineRule="auto"/>
              <w:ind w:left="0" w:right="18" w:firstLine="0"/>
              <w:jc w:val="center"/>
            </w:pPr>
            <w:r>
              <w:rPr>
                <w:b/>
              </w:rPr>
              <w:t xml:space="preserve">(Liang </w:t>
            </w:r>
          </w:p>
          <w:p w14:paraId="36BA28C1" w14:textId="77777777" w:rsidR="00BD0135" w:rsidRDefault="00000000">
            <w:pPr>
              <w:spacing w:after="0" w:line="259" w:lineRule="auto"/>
              <w:ind w:left="0" w:right="16" w:firstLine="0"/>
              <w:jc w:val="center"/>
            </w:pPr>
            <w:r>
              <w:rPr>
                <w:b/>
              </w:rPr>
              <w:t>2020)</w:t>
            </w:r>
            <w: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14:paraId="1EBA40D8" w14:textId="77777777" w:rsidR="00BD0135" w:rsidRDefault="00000000">
            <w:pPr>
              <w:spacing w:after="0" w:line="259" w:lineRule="auto"/>
              <w:ind w:left="48" w:right="0" w:firstLine="0"/>
            </w:pPr>
            <w:r>
              <w:rPr>
                <w:b/>
              </w:rPr>
              <w:t xml:space="preserve">Topologies </w:t>
            </w:r>
          </w:p>
          <w:p w14:paraId="6A5651F1" w14:textId="77777777" w:rsidR="00BD0135" w:rsidRDefault="00000000">
            <w:pPr>
              <w:spacing w:after="0" w:line="259" w:lineRule="auto"/>
              <w:ind w:left="43" w:right="0" w:firstLine="0"/>
            </w:pPr>
            <w:r>
              <w:rPr>
                <w:b/>
              </w:rPr>
              <w:t xml:space="preserve">(Mohamed </w:t>
            </w:r>
          </w:p>
          <w:p w14:paraId="0C928297" w14:textId="77777777" w:rsidR="00BD0135" w:rsidRDefault="00000000">
            <w:pPr>
              <w:spacing w:after="0" w:line="259" w:lineRule="auto"/>
              <w:ind w:left="0" w:right="18" w:firstLine="0"/>
              <w:jc w:val="center"/>
            </w:pPr>
            <w:r>
              <w:rPr>
                <w:b/>
              </w:rPr>
              <w:t>2022)</w:t>
            </w:r>
            <w:r>
              <w:t xml:space="preserve"> </w:t>
            </w:r>
          </w:p>
        </w:tc>
      </w:tr>
      <w:tr w:rsidR="00BD0135" w14:paraId="0F867D0B" w14:textId="77777777" w:rsidTr="00183327">
        <w:trPr>
          <w:trHeight w:val="730"/>
        </w:trPr>
        <w:tc>
          <w:tcPr>
            <w:tcW w:w="988" w:type="dxa"/>
            <w:tcBorders>
              <w:top w:val="single" w:sz="4" w:space="0" w:color="000000"/>
              <w:left w:val="single" w:sz="4" w:space="0" w:color="000000"/>
              <w:bottom w:val="single" w:sz="4" w:space="0" w:color="000000"/>
              <w:right w:val="single" w:sz="4" w:space="0" w:color="000000"/>
            </w:tcBorders>
            <w:vAlign w:val="center"/>
          </w:tcPr>
          <w:p w14:paraId="3C57E554" w14:textId="77777777" w:rsidR="00BD0135" w:rsidRDefault="00000000">
            <w:pPr>
              <w:spacing w:after="0" w:line="259" w:lineRule="auto"/>
              <w:ind w:left="0" w:right="0" w:firstLine="0"/>
              <w:jc w:val="center"/>
            </w:pPr>
            <w:r>
              <w:rPr>
                <w:b/>
              </w:rPr>
              <w:t>Modelling Tool</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13059345" w14:textId="77777777" w:rsidR="00BD0135" w:rsidRDefault="00000000">
            <w:pPr>
              <w:spacing w:after="0" w:line="259" w:lineRule="auto"/>
              <w:ind w:left="29" w:right="0" w:firstLine="0"/>
            </w:pPr>
            <w:r>
              <w:t>MATLAB/</w:t>
            </w:r>
          </w:p>
          <w:p w14:paraId="57EF8A0B" w14:textId="77777777" w:rsidR="00BD0135" w:rsidRDefault="00000000">
            <w:pPr>
              <w:spacing w:after="0" w:line="259" w:lineRule="auto"/>
              <w:ind w:left="0" w:right="0" w:firstLine="0"/>
              <w:jc w:val="center"/>
            </w:pPr>
            <w:r>
              <w:t xml:space="preserve">Simulink, circuit eqs. </w:t>
            </w:r>
          </w:p>
        </w:tc>
        <w:tc>
          <w:tcPr>
            <w:tcW w:w="992" w:type="dxa"/>
            <w:tcBorders>
              <w:top w:val="single" w:sz="4" w:space="0" w:color="000000"/>
              <w:left w:val="single" w:sz="4" w:space="0" w:color="000000"/>
              <w:bottom w:val="single" w:sz="4" w:space="0" w:color="000000"/>
              <w:right w:val="single" w:sz="4" w:space="0" w:color="000000"/>
            </w:tcBorders>
          </w:tcPr>
          <w:p w14:paraId="1B8FA8E2" w14:textId="77777777" w:rsidR="00BD0135" w:rsidRDefault="00000000">
            <w:pPr>
              <w:spacing w:after="0" w:line="259" w:lineRule="auto"/>
              <w:ind w:left="5" w:right="0" w:hanging="5"/>
              <w:jc w:val="center"/>
            </w:pPr>
            <w:r>
              <w:t xml:space="preserve">THA/FHA, stochastic geometry </w:t>
            </w:r>
          </w:p>
        </w:tc>
        <w:tc>
          <w:tcPr>
            <w:tcW w:w="994" w:type="dxa"/>
            <w:tcBorders>
              <w:top w:val="single" w:sz="4" w:space="0" w:color="000000"/>
              <w:left w:val="single" w:sz="4" w:space="0" w:color="000000"/>
              <w:bottom w:val="single" w:sz="4" w:space="0" w:color="000000"/>
              <w:right w:val="single" w:sz="4" w:space="0" w:color="000000"/>
            </w:tcBorders>
          </w:tcPr>
          <w:p w14:paraId="714E9441" w14:textId="77777777" w:rsidR="00BD0135" w:rsidRDefault="00000000">
            <w:pPr>
              <w:spacing w:after="2" w:line="237" w:lineRule="auto"/>
              <w:ind w:left="0" w:right="0" w:firstLine="0"/>
              <w:jc w:val="center"/>
            </w:pPr>
            <w:r>
              <w:t xml:space="preserve">Thermal circuit + </w:t>
            </w:r>
          </w:p>
          <w:p w14:paraId="6E9A7D9E" w14:textId="77777777" w:rsidR="00BD0135" w:rsidRDefault="00000000">
            <w:pPr>
              <w:spacing w:after="0" w:line="259" w:lineRule="auto"/>
              <w:ind w:left="0" w:right="15" w:firstLine="0"/>
              <w:jc w:val="center"/>
            </w:pPr>
            <w:r>
              <w:t xml:space="preserve">FEM </w:t>
            </w:r>
          </w:p>
        </w:tc>
        <w:tc>
          <w:tcPr>
            <w:tcW w:w="1054" w:type="dxa"/>
            <w:tcBorders>
              <w:top w:val="single" w:sz="4" w:space="0" w:color="000000"/>
              <w:left w:val="single" w:sz="4" w:space="0" w:color="000000"/>
              <w:bottom w:val="single" w:sz="4" w:space="0" w:color="000000"/>
              <w:right w:val="single" w:sz="4" w:space="0" w:color="000000"/>
            </w:tcBorders>
          </w:tcPr>
          <w:p w14:paraId="37D207EA" w14:textId="77777777" w:rsidR="00BD0135" w:rsidRDefault="00000000">
            <w:pPr>
              <w:spacing w:after="0" w:line="259" w:lineRule="auto"/>
              <w:ind w:left="0" w:right="0" w:firstLine="0"/>
              <w:jc w:val="center"/>
            </w:pPr>
            <w:r>
              <w:t xml:space="preserve">Analytical mutual inductance </w:t>
            </w:r>
          </w:p>
        </w:tc>
      </w:tr>
      <w:tr w:rsidR="00BD0135" w14:paraId="27C2DC4D" w14:textId="77777777" w:rsidTr="00183327">
        <w:trPr>
          <w:trHeight w:val="732"/>
        </w:trPr>
        <w:tc>
          <w:tcPr>
            <w:tcW w:w="988" w:type="dxa"/>
            <w:tcBorders>
              <w:top w:val="single" w:sz="4" w:space="0" w:color="000000"/>
              <w:left w:val="single" w:sz="4" w:space="0" w:color="000000"/>
              <w:bottom w:val="single" w:sz="4" w:space="0" w:color="000000"/>
              <w:right w:val="single" w:sz="4" w:space="0" w:color="000000"/>
            </w:tcBorders>
            <w:vAlign w:val="center"/>
          </w:tcPr>
          <w:p w14:paraId="3577CB17" w14:textId="77777777" w:rsidR="00BD0135" w:rsidRDefault="00000000">
            <w:pPr>
              <w:spacing w:after="0" w:line="259" w:lineRule="auto"/>
              <w:ind w:left="48" w:right="0" w:firstLine="0"/>
            </w:pPr>
            <w:r>
              <w:rPr>
                <w:b/>
              </w:rPr>
              <w:t>Efficiency</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FB6FEC1" w14:textId="77777777" w:rsidR="00BD0135" w:rsidRDefault="00000000">
            <w:pPr>
              <w:spacing w:after="0" w:line="259" w:lineRule="auto"/>
              <w:ind w:left="0" w:right="19" w:firstLine="0"/>
              <w:jc w:val="center"/>
            </w:pPr>
            <w:r>
              <w:t xml:space="preserve">~96% </w:t>
            </w:r>
          </w:p>
          <w:p w14:paraId="3A58244E" w14:textId="77777777" w:rsidR="00BD0135" w:rsidRDefault="00000000">
            <w:pPr>
              <w:spacing w:after="0" w:line="259" w:lineRule="auto"/>
              <w:ind w:left="29" w:right="0" w:firstLine="0"/>
            </w:pPr>
            <w:r>
              <w:t>(G2V/V2G</w:t>
            </w:r>
          </w:p>
          <w:p w14:paraId="62759748" w14:textId="77777777" w:rsidR="00BD0135" w:rsidRDefault="00000000">
            <w:pPr>
              <w:spacing w:after="0" w:line="259" w:lineRule="auto"/>
              <w:ind w:left="0" w:right="20" w:firstLine="0"/>
              <w:jc w:val="center"/>
            </w:pP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543981EB" w14:textId="77777777" w:rsidR="00BD0135" w:rsidRDefault="00000000">
            <w:pPr>
              <w:spacing w:after="0" w:line="259" w:lineRule="auto"/>
              <w:ind w:left="0" w:right="19" w:firstLine="0"/>
              <w:jc w:val="center"/>
            </w:pPr>
            <w:r>
              <w:t xml:space="preserve">High </w:t>
            </w:r>
          </w:p>
          <w:p w14:paraId="3D39E944" w14:textId="77777777" w:rsidR="00BD0135" w:rsidRDefault="00000000">
            <w:pPr>
              <w:spacing w:after="0" w:line="259" w:lineRule="auto"/>
              <w:ind w:left="0" w:right="18" w:firstLine="0"/>
              <w:jc w:val="center"/>
            </w:pPr>
            <w:r>
              <w:t>(THD-</w:t>
            </w:r>
          </w:p>
          <w:p w14:paraId="71B6A7D2" w14:textId="77777777" w:rsidR="00BD0135" w:rsidRDefault="00000000">
            <w:pPr>
              <w:spacing w:after="0" w:line="259" w:lineRule="auto"/>
              <w:ind w:left="130" w:right="0" w:firstLine="0"/>
              <w:jc w:val="left"/>
            </w:pPr>
            <w:r>
              <w:t xml:space="preserve">reduced) </w:t>
            </w:r>
          </w:p>
        </w:tc>
        <w:tc>
          <w:tcPr>
            <w:tcW w:w="994" w:type="dxa"/>
            <w:tcBorders>
              <w:top w:val="single" w:sz="4" w:space="0" w:color="000000"/>
              <w:left w:val="single" w:sz="4" w:space="0" w:color="000000"/>
              <w:bottom w:val="single" w:sz="4" w:space="0" w:color="000000"/>
              <w:right w:val="single" w:sz="4" w:space="0" w:color="000000"/>
            </w:tcBorders>
            <w:vAlign w:val="center"/>
          </w:tcPr>
          <w:p w14:paraId="0751267E" w14:textId="77777777" w:rsidR="00BD0135" w:rsidRDefault="00000000">
            <w:pPr>
              <w:spacing w:after="0" w:line="259" w:lineRule="auto"/>
              <w:ind w:left="0" w:right="0" w:firstLine="0"/>
              <w:jc w:val="center"/>
            </w:pPr>
            <w:r>
              <w:t xml:space="preserve">N/A (temp. focus) </w:t>
            </w:r>
          </w:p>
        </w:tc>
        <w:tc>
          <w:tcPr>
            <w:tcW w:w="1054" w:type="dxa"/>
            <w:tcBorders>
              <w:top w:val="single" w:sz="4" w:space="0" w:color="000000"/>
              <w:left w:val="single" w:sz="4" w:space="0" w:color="000000"/>
              <w:bottom w:val="single" w:sz="4" w:space="0" w:color="000000"/>
              <w:right w:val="single" w:sz="4" w:space="0" w:color="000000"/>
            </w:tcBorders>
            <w:vAlign w:val="center"/>
          </w:tcPr>
          <w:p w14:paraId="4F3E6559" w14:textId="77777777" w:rsidR="00BD0135" w:rsidRDefault="00000000">
            <w:pPr>
              <w:spacing w:after="0" w:line="259" w:lineRule="auto"/>
              <w:ind w:left="0" w:right="0" w:firstLine="0"/>
              <w:jc w:val="center"/>
            </w:pPr>
            <w:r>
              <w:t xml:space="preserve">80–98% (SS preferred) </w:t>
            </w:r>
          </w:p>
        </w:tc>
      </w:tr>
      <w:tr w:rsidR="00BD0135" w14:paraId="536E5203" w14:textId="77777777" w:rsidTr="00183327">
        <w:trPr>
          <w:trHeight w:val="1097"/>
        </w:trPr>
        <w:tc>
          <w:tcPr>
            <w:tcW w:w="988" w:type="dxa"/>
            <w:tcBorders>
              <w:top w:val="single" w:sz="4" w:space="0" w:color="000000"/>
              <w:left w:val="single" w:sz="4" w:space="0" w:color="000000"/>
              <w:bottom w:val="single" w:sz="4" w:space="0" w:color="000000"/>
              <w:right w:val="single" w:sz="4" w:space="0" w:color="000000"/>
            </w:tcBorders>
            <w:vAlign w:val="center"/>
          </w:tcPr>
          <w:p w14:paraId="798A4F0F" w14:textId="77777777" w:rsidR="00BD0135" w:rsidRDefault="00000000">
            <w:pPr>
              <w:spacing w:after="0" w:line="259" w:lineRule="auto"/>
              <w:ind w:left="0" w:right="0" w:firstLine="0"/>
              <w:jc w:val="center"/>
            </w:pPr>
            <w:r>
              <w:rPr>
                <w:b/>
              </w:rPr>
              <w:t>Key Innovation</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A07F187" w14:textId="77777777" w:rsidR="00BD0135" w:rsidRDefault="00000000">
            <w:pPr>
              <w:spacing w:after="0" w:line="259" w:lineRule="auto"/>
              <w:ind w:left="0" w:right="20" w:firstLine="0"/>
              <w:jc w:val="center"/>
            </w:pPr>
            <w:r>
              <w:t xml:space="preserve">Solar + </w:t>
            </w:r>
          </w:p>
          <w:p w14:paraId="2DC9A448" w14:textId="77777777" w:rsidR="00BD0135" w:rsidRDefault="00000000">
            <w:pPr>
              <w:spacing w:after="0" w:line="259" w:lineRule="auto"/>
              <w:ind w:left="0" w:right="0" w:firstLine="0"/>
              <w:jc w:val="center"/>
            </w:pPr>
            <w:r>
              <w:t xml:space="preserve">ESS + bidirectiona l control </w:t>
            </w:r>
          </w:p>
        </w:tc>
        <w:tc>
          <w:tcPr>
            <w:tcW w:w="992" w:type="dxa"/>
            <w:tcBorders>
              <w:top w:val="single" w:sz="4" w:space="0" w:color="000000"/>
              <w:left w:val="single" w:sz="4" w:space="0" w:color="000000"/>
              <w:bottom w:val="single" w:sz="4" w:space="0" w:color="000000"/>
              <w:right w:val="single" w:sz="4" w:space="0" w:color="000000"/>
            </w:tcBorders>
            <w:vAlign w:val="center"/>
          </w:tcPr>
          <w:p w14:paraId="2BB028A3" w14:textId="77777777" w:rsidR="00BD0135" w:rsidRDefault="00000000">
            <w:pPr>
              <w:spacing w:after="0" w:line="259" w:lineRule="auto"/>
              <w:ind w:left="0" w:right="0" w:firstLine="0"/>
              <w:jc w:val="center"/>
            </w:pPr>
            <w:r>
              <w:t xml:space="preserve">Harmonic analysis + phase shift </w:t>
            </w:r>
          </w:p>
        </w:tc>
        <w:tc>
          <w:tcPr>
            <w:tcW w:w="994" w:type="dxa"/>
            <w:tcBorders>
              <w:top w:val="single" w:sz="4" w:space="0" w:color="000000"/>
              <w:left w:val="single" w:sz="4" w:space="0" w:color="000000"/>
              <w:bottom w:val="single" w:sz="4" w:space="0" w:color="000000"/>
              <w:right w:val="single" w:sz="4" w:space="0" w:color="000000"/>
            </w:tcBorders>
            <w:vAlign w:val="center"/>
          </w:tcPr>
          <w:p w14:paraId="2013BDD3" w14:textId="77777777" w:rsidR="00BD0135" w:rsidRDefault="00000000">
            <w:pPr>
              <w:spacing w:after="0" w:line="259" w:lineRule="auto"/>
              <w:ind w:left="0" w:right="0" w:firstLine="0"/>
              <w:jc w:val="center"/>
            </w:pPr>
            <w:r>
              <w:t xml:space="preserve">Loss-totemp. mapping </w:t>
            </w:r>
          </w:p>
        </w:tc>
        <w:tc>
          <w:tcPr>
            <w:tcW w:w="1054" w:type="dxa"/>
            <w:tcBorders>
              <w:top w:val="single" w:sz="4" w:space="0" w:color="000000"/>
              <w:left w:val="single" w:sz="4" w:space="0" w:color="000000"/>
              <w:bottom w:val="single" w:sz="4" w:space="0" w:color="000000"/>
              <w:right w:val="single" w:sz="4" w:space="0" w:color="000000"/>
            </w:tcBorders>
            <w:vAlign w:val="center"/>
          </w:tcPr>
          <w:p w14:paraId="3065FB81" w14:textId="77777777" w:rsidR="00BD0135" w:rsidRDefault="00000000">
            <w:pPr>
              <w:spacing w:after="0" w:line="259" w:lineRule="auto"/>
              <w:ind w:left="0" w:right="0" w:firstLine="0"/>
              <w:jc w:val="center"/>
            </w:pPr>
            <w:r>
              <w:t xml:space="preserve">Static/dyna mic autonomy </w:t>
            </w:r>
          </w:p>
        </w:tc>
      </w:tr>
      <w:tr w:rsidR="00BD0135" w14:paraId="68B6C54A" w14:textId="77777777" w:rsidTr="00183327">
        <w:trPr>
          <w:trHeight w:val="984"/>
        </w:trPr>
        <w:tc>
          <w:tcPr>
            <w:tcW w:w="988" w:type="dxa"/>
            <w:tcBorders>
              <w:top w:val="single" w:sz="4" w:space="0" w:color="000000"/>
              <w:left w:val="single" w:sz="4" w:space="0" w:color="000000"/>
              <w:bottom w:val="single" w:sz="4" w:space="0" w:color="000000"/>
              <w:right w:val="single" w:sz="4" w:space="0" w:color="000000"/>
            </w:tcBorders>
            <w:vAlign w:val="center"/>
          </w:tcPr>
          <w:p w14:paraId="4A4D283D" w14:textId="77777777" w:rsidR="00BD0135" w:rsidRDefault="00000000">
            <w:pPr>
              <w:spacing w:after="0" w:line="259" w:lineRule="auto"/>
              <w:ind w:right="0" w:firstLine="0"/>
            </w:pPr>
            <w:r>
              <w:rPr>
                <w:b/>
              </w:rPr>
              <w:t>Challenges</w:t>
            </w: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0D0D7C43" w14:textId="77777777" w:rsidR="00BD0135" w:rsidRDefault="00000000">
            <w:pPr>
              <w:spacing w:after="0" w:line="259" w:lineRule="auto"/>
              <w:ind w:left="0" w:right="0" w:firstLine="0"/>
              <w:jc w:val="center"/>
            </w:pPr>
            <w:r>
              <w:t xml:space="preserve">Irradiance variation </w:t>
            </w:r>
          </w:p>
        </w:tc>
        <w:tc>
          <w:tcPr>
            <w:tcW w:w="992" w:type="dxa"/>
            <w:tcBorders>
              <w:top w:val="single" w:sz="4" w:space="0" w:color="000000"/>
              <w:left w:val="single" w:sz="4" w:space="0" w:color="000000"/>
              <w:bottom w:val="single" w:sz="4" w:space="0" w:color="000000"/>
              <w:right w:val="single" w:sz="4" w:space="0" w:color="000000"/>
            </w:tcBorders>
            <w:vAlign w:val="center"/>
          </w:tcPr>
          <w:p w14:paraId="5964D07C" w14:textId="77777777" w:rsidR="00BD0135" w:rsidRDefault="00000000">
            <w:pPr>
              <w:spacing w:after="0" w:line="259" w:lineRule="auto"/>
              <w:ind w:left="0" w:right="0" w:firstLine="0"/>
            </w:pPr>
            <w:r>
              <w:t>Misalignme</w:t>
            </w:r>
          </w:p>
          <w:p w14:paraId="0B9EFD17" w14:textId="77777777" w:rsidR="00BD0135" w:rsidRDefault="00000000">
            <w:pPr>
              <w:spacing w:after="0" w:line="259" w:lineRule="auto"/>
              <w:ind w:left="0" w:right="17" w:firstLine="0"/>
              <w:jc w:val="center"/>
            </w:pPr>
            <w:r>
              <w:t xml:space="preserve">nt </w:t>
            </w:r>
          </w:p>
          <w:p w14:paraId="6D601F3D" w14:textId="77777777" w:rsidR="00BD0135" w:rsidRDefault="00000000">
            <w:pPr>
              <w:spacing w:after="0" w:line="259" w:lineRule="auto"/>
              <w:ind w:left="62" w:right="0" w:firstLine="0"/>
            </w:pPr>
            <w:r>
              <w:t xml:space="preserve">harmonics </w:t>
            </w:r>
          </w:p>
        </w:tc>
        <w:tc>
          <w:tcPr>
            <w:tcW w:w="994" w:type="dxa"/>
            <w:tcBorders>
              <w:top w:val="single" w:sz="4" w:space="0" w:color="000000"/>
              <w:left w:val="single" w:sz="4" w:space="0" w:color="000000"/>
              <w:bottom w:val="single" w:sz="4" w:space="0" w:color="000000"/>
              <w:right w:val="single" w:sz="4" w:space="0" w:color="000000"/>
            </w:tcBorders>
            <w:vAlign w:val="center"/>
          </w:tcPr>
          <w:p w14:paraId="1B9B56BB" w14:textId="77777777" w:rsidR="00BD0135" w:rsidRDefault="00000000">
            <w:pPr>
              <w:spacing w:after="0" w:line="259" w:lineRule="auto"/>
              <w:ind w:left="0" w:right="0" w:firstLine="0"/>
              <w:jc w:val="center"/>
            </w:pPr>
            <w:r>
              <w:t xml:space="preserve">Coil hottest component </w:t>
            </w:r>
          </w:p>
        </w:tc>
        <w:tc>
          <w:tcPr>
            <w:tcW w:w="1054" w:type="dxa"/>
            <w:tcBorders>
              <w:top w:val="single" w:sz="4" w:space="0" w:color="000000"/>
              <w:left w:val="single" w:sz="4" w:space="0" w:color="000000"/>
              <w:bottom w:val="single" w:sz="4" w:space="0" w:color="000000"/>
              <w:right w:val="single" w:sz="4" w:space="0" w:color="000000"/>
            </w:tcBorders>
            <w:vAlign w:val="center"/>
          </w:tcPr>
          <w:p w14:paraId="315B093E" w14:textId="77777777" w:rsidR="00BD0135" w:rsidRDefault="00000000">
            <w:pPr>
              <w:spacing w:after="0" w:line="259" w:lineRule="auto"/>
              <w:ind w:left="0" w:right="17" w:firstLine="0"/>
              <w:jc w:val="center"/>
            </w:pPr>
            <w:r>
              <w:t xml:space="preserve">EM </w:t>
            </w:r>
          </w:p>
          <w:p w14:paraId="0C7E6A0A" w14:textId="77777777" w:rsidR="00BD0135" w:rsidRDefault="00000000">
            <w:pPr>
              <w:spacing w:after="0" w:line="259" w:lineRule="auto"/>
              <w:ind w:left="0" w:right="0" w:firstLine="0"/>
              <w:jc w:val="center"/>
            </w:pPr>
            <w:r>
              <w:t xml:space="preserve">interference, alignment </w:t>
            </w:r>
          </w:p>
        </w:tc>
      </w:tr>
    </w:tbl>
    <w:p w14:paraId="46BBA8E9" w14:textId="77777777" w:rsidR="00BD0135" w:rsidRDefault="00000000">
      <w:pPr>
        <w:spacing w:after="0" w:line="259" w:lineRule="auto"/>
        <w:ind w:left="0" w:right="0" w:firstLine="0"/>
        <w:jc w:val="left"/>
      </w:pPr>
      <w:r>
        <w:t xml:space="preserve"> </w:t>
      </w:r>
    </w:p>
    <w:p w14:paraId="7DB450F1" w14:textId="737E3889" w:rsidR="00BD0135" w:rsidRDefault="00183327" w:rsidP="00183327">
      <w:pPr>
        <w:spacing w:after="167" w:line="259" w:lineRule="auto"/>
        <w:ind w:left="0" w:right="0" w:firstLine="0"/>
      </w:pPr>
      <w:r>
        <w:t>Common challenges include misalignment effects, harmonics under motion, thermal stress, and grid impact. SS</w:t>
      </w:r>
      <w:r>
        <w:t xml:space="preserve"> </w:t>
      </w:r>
      <w:r>
        <w:t>Compensation consistently yields high efficiency. Renewables mitigate peak loads via MPPT and ESS.</w:t>
      </w:r>
    </w:p>
    <w:p w14:paraId="09922644" w14:textId="77777777" w:rsidR="00BD0135" w:rsidRDefault="00000000">
      <w:pPr>
        <w:pStyle w:val="Heading2"/>
        <w:ind w:left="540"/>
      </w:pPr>
      <w:r>
        <w:rPr>
          <w:sz w:val="20"/>
        </w:rPr>
        <w:t>VIII.</w:t>
      </w:r>
      <w:r>
        <w:rPr>
          <w:rFonts w:ascii="Arial" w:eastAsia="Arial" w:hAnsi="Arial" w:cs="Arial"/>
          <w:sz w:val="20"/>
        </w:rPr>
        <w:t xml:space="preserve"> </w:t>
      </w:r>
      <w:r>
        <w:rPr>
          <w:sz w:val="20"/>
        </w:rPr>
        <w:t>F</w:t>
      </w:r>
      <w:r>
        <w:t xml:space="preserve">UTURE </w:t>
      </w:r>
      <w:r>
        <w:rPr>
          <w:sz w:val="20"/>
        </w:rPr>
        <w:t>D</w:t>
      </w:r>
      <w:r>
        <w:t xml:space="preserve">IRECTIONS FOR THE </w:t>
      </w:r>
      <w:r>
        <w:rPr>
          <w:sz w:val="20"/>
        </w:rPr>
        <w:t>P</w:t>
      </w:r>
      <w:r>
        <w:t>ROJECT</w:t>
      </w:r>
      <w:r>
        <w:rPr>
          <w:sz w:val="20"/>
        </w:rPr>
        <w:t xml:space="preserve"> </w:t>
      </w:r>
    </w:p>
    <w:p w14:paraId="46D2A3CB" w14:textId="77777777" w:rsidR="00BD0135" w:rsidRDefault="00000000">
      <w:pPr>
        <w:spacing w:after="145"/>
        <w:ind w:left="-5" w:right="0"/>
      </w:pPr>
      <w:r>
        <w:t xml:space="preserve"> The reviewed works provide building blocks for the     project: </w:t>
      </w:r>
    </w:p>
    <w:p w14:paraId="19E27937" w14:textId="77777777" w:rsidR="00BD0135" w:rsidRDefault="00000000">
      <w:pPr>
        <w:numPr>
          <w:ilvl w:val="0"/>
          <w:numId w:val="1"/>
        </w:numPr>
        <w:spacing w:after="145"/>
        <w:ind w:right="0" w:hanging="360"/>
      </w:pPr>
      <w:r>
        <w:t xml:space="preserve">Development of dynamic wireless charging for charging EVs while moving. </w:t>
      </w:r>
    </w:p>
    <w:p w14:paraId="2050FDFC" w14:textId="77777777" w:rsidR="00BD0135" w:rsidRDefault="00000000">
      <w:pPr>
        <w:numPr>
          <w:ilvl w:val="0"/>
          <w:numId w:val="1"/>
        </w:numPr>
        <w:spacing w:after="143"/>
        <w:ind w:right="0" w:hanging="360"/>
      </w:pPr>
      <w:r>
        <w:t xml:space="preserve">Integration of renewable energy sources like solar PV systems. </w:t>
      </w:r>
    </w:p>
    <w:p w14:paraId="5E2C7F91" w14:textId="77777777" w:rsidR="00BD0135" w:rsidRDefault="00000000">
      <w:pPr>
        <w:numPr>
          <w:ilvl w:val="0"/>
          <w:numId w:val="1"/>
        </w:numPr>
        <w:spacing w:after="146"/>
        <w:ind w:right="0" w:hanging="360"/>
      </w:pPr>
      <w:r>
        <w:t xml:space="preserve">Improvement of wireless power transfer efficiency using advanced coil designs. </w:t>
      </w:r>
    </w:p>
    <w:p w14:paraId="6C26C167" w14:textId="77777777" w:rsidR="00BD0135" w:rsidRDefault="00000000">
      <w:pPr>
        <w:numPr>
          <w:ilvl w:val="0"/>
          <w:numId w:val="1"/>
        </w:numPr>
        <w:spacing w:after="122"/>
        <w:ind w:right="0" w:hanging="360"/>
      </w:pPr>
      <w:r>
        <w:t xml:space="preserve">Advanced thermal management and harmonic reduction techniques for better reliability. </w:t>
      </w:r>
    </w:p>
    <w:p w14:paraId="25D6838E" w14:textId="77777777" w:rsidR="00BD0135" w:rsidRDefault="00000000">
      <w:pPr>
        <w:spacing w:after="124"/>
        <w:ind w:left="-15" w:right="0" w:firstLine="288"/>
      </w:pPr>
      <w:r>
        <w:t xml:space="preserve">Gaps include hybrid static-dynamic systems under real traffic, AI-based adaptive control, and multi-objective optimization (efficiency, THD, temperature). Future work should simulate integrated systems under Indian urban conditions (e.g., Pune) for practical deployment. </w:t>
      </w:r>
    </w:p>
    <w:p w14:paraId="3181B13C" w14:textId="77777777" w:rsidR="00BD0135" w:rsidRDefault="00000000">
      <w:pPr>
        <w:spacing w:after="183" w:line="259" w:lineRule="auto"/>
        <w:ind w:left="288" w:right="0" w:firstLine="0"/>
        <w:jc w:val="left"/>
      </w:pPr>
      <w:r>
        <w:t xml:space="preserve"> </w:t>
      </w:r>
    </w:p>
    <w:p w14:paraId="57790BAF" w14:textId="77777777" w:rsidR="00BD0135" w:rsidRDefault="00000000">
      <w:pPr>
        <w:pStyle w:val="Heading2"/>
        <w:tabs>
          <w:tab w:val="center" w:pos="1750"/>
          <w:tab w:val="center" w:pos="2638"/>
        </w:tabs>
        <w:spacing w:after="66" w:line="259" w:lineRule="auto"/>
        <w:ind w:left="0" w:firstLine="0"/>
      </w:pPr>
      <w:r>
        <w:rPr>
          <w:rFonts w:ascii="Calibri" w:eastAsia="Calibri" w:hAnsi="Calibri" w:cs="Calibri"/>
          <w:sz w:val="22"/>
        </w:rPr>
        <w:tab/>
      </w:r>
      <w:r>
        <w:rPr>
          <w:sz w:val="20"/>
        </w:rPr>
        <w:t>IX.</w:t>
      </w:r>
      <w:r>
        <w:rPr>
          <w:rFonts w:ascii="Arial" w:eastAsia="Arial" w:hAnsi="Arial" w:cs="Arial"/>
          <w:sz w:val="20"/>
        </w:rPr>
        <w:t xml:space="preserve"> </w:t>
      </w:r>
      <w:r>
        <w:rPr>
          <w:rFonts w:ascii="Arial" w:eastAsia="Arial" w:hAnsi="Arial" w:cs="Arial"/>
          <w:sz w:val="20"/>
        </w:rPr>
        <w:tab/>
      </w:r>
      <w:r>
        <w:rPr>
          <w:sz w:val="20"/>
        </w:rPr>
        <w:t>C</w:t>
      </w:r>
      <w:r>
        <w:t>ONCLUSION</w:t>
      </w:r>
      <w:r>
        <w:rPr>
          <w:sz w:val="20"/>
        </w:rPr>
        <w:t xml:space="preserve"> </w:t>
      </w:r>
    </w:p>
    <w:p w14:paraId="59C21DF3" w14:textId="77777777" w:rsidR="00BD0135" w:rsidRDefault="00000000" w:rsidP="00BD44CD">
      <w:pPr>
        <w:spacing w:after="118" w:line="241" w:lineRule="auto"/>
        <w:ind w:left="9" w:right="0"/>
      </w:pPr>
      <w:r>
        <w:t xml:space="preserve">This review demonstrates that advanced modelling— circuit-based, thermal, harmonic, and stochastic—enables high-efficiency, </w:t>
      </w:r>
      <w:r>
        <w:tab/>
        <w:t xml:space="preserve">sustainable </w:t>
      </w:r>
      <w:r>
        <w:tab/>
        <w:t xml:space="preserve">wireless </w:t>
      </w:r>
      <w:r>
        <w:tab/>
        <w:t xml:space="preserve">EV </w:t>
      </w:r>
      <w:r>
        <w:tab/>
        <w:t xml:space="preserve">charging. Stationary systems with solar achieve reliable bidirectional operation, while dynamic and large-scale analyses address real-world scalability. The synthesized insights directly support the project “Modelling and Analysis of Wireless EV Charging System,” offering a pathway to design, simulate, and optimize next-generation WPT infrastructure. </w:t>
      </w:r>
    </w:p>
    <w:p w14:paraId="0703EA44" w14:textId="77777777" w:rsidR="00BD0135" w:rsidRDefault="00000000">
      <w:pPr>
        <w:spacing w:after="184" w:line="259" w:lineRule="auto"/>
        <w:ind w:left="0" w:right="0" w:firstLine="0"/>
        <w:jc w:val="left"/>
      </w:pPr>
      <w:r>
        <w:t xml:space="preserve"> </w:t>
      </w:r>
    </w:p>
    <w:p w14:paraId="3C3EF743" w14:textId="77777777" w:rsidR="00BD0135" w:rsidRDefault="00000000">
      <w:pPr>
        <w:pStyle w:val="Heading2"/>
        <w:tabs>
          <w:tab w:val="center" w:pos="1763"/>
          <w:tab w:val="center" w:pos="2641"/>
        </w:tabs>
        <w:spacing w:after="66" w:line="259" w:lineRule="auto"/>
        <w:ind w:left="0" w:firstLine="0"/>
      </w:pPr>
      <w:r>
        <w:rPr>
          <w:rFonts w:ascii="Calibri" w:eastAsia="Calibri" w:hAnsi="Calibri" w:cs="Calibri"/>
          <w:sz w:val="22"/>
        </w:rPr>
        <w:tab/>
      </w:r>
      <w:r>
        <w:rPr>
          <w:sz w:val="20"/>
        </w:rPr>
        <w:t>X.</w:t>
      </w:r>
      <w:r>
        <w:rPr>
          <w:rFonts w:ascii="Arial" w:eastAsia="Arial" w:hAnsi="Arial" w:cs="Arial"/>
          <w:sz w:val="20"/>
        </w:rPr>
        <w:t xml:space="preserve"> </w:t>
      </w:r>
      <w:r>
        <w:rPr>
          <w:rFonts w:ascii="Arial" w:eastAsia="Arial" w:hAnsi="Arial" w:cs="Arial"/>
          <w:sz w:val="20"/>
        </w:rPr>
        <w:tab/>
      </w:r>
      <w:r>
        <w:rPr>
          <w:sz w:val="20"/>
        </w:rPr>
        <w:t>R</w:t>
      </w:r>
      <w:r>
        <w:t>EFERENCES</w:t>
      </w:r>
      <w:r>
        <w:rPr>
          <w:sz w:val="20"/>
        </w:rPr>
        <w:t xml:space="preserve"> </w:t>
      </w:r>
    </w:p>
    <w:p w14:paraId="56A0A6E5" w14:textId="77777777" w:rsidR="00BD0135" w:rsidRDefault="00000000">
      <w:pPr>
        <w:numPr>
          <w:ilvl w:val="0"/>
          <w:numId w:val="2"/>
        </w:numPr>
        <w:ind w:right="0" w:hanging="269"/>
      </w:pPr>
      <w:r>
        <w:t xml:space="preserve">Islam, M. N., et al. (2025). Modelling and Analysis of a Stationary Wireless EV Charging System with Solar PV Integration. IEEE CPERE. </w:t>
      </w:r>
    </w:p>
    <w:p w14:paraId="6C2F8C0F" w14:textId="77777777" w:rsidR="00BD0135" w:rsidRDefault="00000000">
      <w:pPr>
        <w:numPr>
          <w:ilvl w:val="0"/>
          <w:numId w:val="2"/>
        </w:numPr>
        <w:ind w:right="0" w:hanging="269"/>
      </w:pPr>
      <w:r>
        <w:t xml:space="preserve">Shahin, A., et al. (2024). A Comprehensive Analysis: Integrating Renewable Energy Sources With Wire/Wireless EV Charging Systems for Green Mobility. IEEE Access. </w:t>
      </w:r>
    </w:p>
    <w:p w14:paraId="771D18BA" w14:textId="77777777" w:rsidR="00BD0135" w:rsidRDefault="00000000">
      <w:pPr>
        <w:numPr>
          <w:ilvl w:val="0"/>
          <w:numId w:val="2"/>
        </w:numPr>
        <w:ind w:right="0" w:hanging="269"/>
      </w:pPr>
      <w:r>
        <w:t xml:space="preserve">Liang, C., et al. (2020). Modelling and Analysis of Thermal Characteristics of Magnetic Coupler for </w:t>
      </w:r>
      <w:r>
        <w:lastRenderedPageBreak/>
        <w:t xml:space="preserve">Wireless Electric Vehicle Charging System. IEEE Access. </w:t>
      </w:r>
    </w:p>
    <w:p w14:paraId="324A8C62" w14:textId="77777777" w:rsidR="00BD0135" w:rsidRDefault="00000000">
      <w:pPr>
        <w:numPr>
          <w:ilvl w:val="0"/>
          <w:numId w:val="2"/>
        </w:numPr>
        <w:ind w:right="0" w:hanging="269"/>
      </w:pPr>
      <w:r>
        <w:t xml:space="preserve">Quirós, J. C., &amp; Triviño, A. (2024). Harmonic Approximation for Dynamic Wireless Charging of Electric Vehicles. IEEE Access. </w:t>
      </w:r>
    </w:p>
    <w:p w14:paraId="70F86C55" w14:textId="77777777" w:rsidR="00BD0135" w:rsidRDefault="00000000">
      <w:pPr>
        <w:numPr>
          <w:ilvl w:val="0"/>
          <w:numId w:val="2"/>
        </w:numPr>
        <w:ind w:right="0" w:hanging="269"/>
      </w:pPr>
      <w:r>
        <w:t xml:space="preserve">Nguyen, D. M., et al. (2021). Modelling and Analysis of Dynamic Charging for EVs: A Stochastic Geometry Approach. IEEE Trans. Veh. Technol. </w:t>
      </w:r>
    </w:p>
    <w:p w14:paraId="0560E5D4" w14:textId="77777777" w:rsidR="00BD0135" w:rsidRDefault="00000000">
      <w:pPr>
        <w:numPr>
          <w:ilvl w:val="0"/>
          <w:numId w:val="2"/>
        </w:numPr>
        <w:ind w:right="0" w:hanging="269"/>
      </w:pPr>
      <w:r>
        <w:t xml:space="preserve">Mohamed, N., et al. (2022). A Comprehensive Analysis of Wireless Charging Systems for Electric Vehicles. IEEE Access. </w:t>
      </w:r>
    </w:p>
    <w:sectPr w:rsidR="00BD0135">
      <w:type w:val="continuous"/>
      <w:pgSz w:w="11906" w:h="16838"/>
      <w:pgMar w:top="1031" w:right="888" w:bottom="716" w:left="893" w:header="720" w:footer="720" w:gutter="0"/>
      <w:cols w:num="2" w:space="6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17F8D00A"/>
    <w:lvl w:ilvl="0" w:tplc="97A05CF0">
      <w:start w:val="1"/>
      <w:numFmt w:val="decimal"/>
      <w:lvlText w:val="%1."/>
      <w:lvlJc w:val="left"/>
      <w:pPr>
        <w:ind w:left="3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1" w:tplc="D41CC102">
      <w:start w:val="1"/>
      <w:numFmt w:val="lowerLetter"/>
      <w:lvlText w:val="%2"/>
      <w:lvlJc w:val="left"/>
      <w:pPr>
        <w:ind w:left="117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2" w:tplc="048CEDFA">
      <w:start w:val="1"/>
      <w:numFmt w:val="lowerRoman"/>
      <w:lvlText w:val="%3"/>
      <w:lvlJc w:val="left"/>
      <w:pPr>
        <w:ind w:left="189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3" w:tplc="510EFBEA">
      <w:start w:val="1"/>
      <w:numFmt w:val="decimal"/>
      <w:lvlText w:val="%4"/>
      <w:lvlJc w:val="left"/>
      <w:pPr>
        <w:ind w:left="261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4" w:tplc="CDDAC92A">
      <w:start w:val="1"/>
      <w:numFmt w:val="lowerLetter"/>
      <w:lvlText w:val="%5"/>
      <w:lvlJc w:val="left"/>
      <w:pPr>
        <w:ind w:left="333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5" w:tplc="C6D43AAA">
      <w:start w:val="1"/>
      <w:numFmt w:val="lowerRoman"/>
      <w:lvlText w:val="%6"/>
      <w:lvlJc w:val="left"/>
      <w:pPr>
        <w:ind w:left="405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6" w:tplc="0DD02B2A">
      <w:start w:val="1"/>
      <w:numFmt w:val="decimal"/>
      <w:lvlText w:val="%7"/>
      <w:lvlJc w:val="left"/>
      <w:pPr>
        <w:ind w:left="477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7" w:tplc="6C52EA10">
      <w:start w:val="1"/>
      <w:numFmt w:val="lowerLetter"/>
      <w:lvlText w:val="%8"/>
      <w:lvlJc w:val="left"/>
      <w:pPr>
        <w:ind w:left="549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8" w:tplc="053AD758">
      <w:start w:val="1"/>
      <w:numFmt w:val="lowerRoman"/>
      <w:lvlText w:val="%9"/>
      <w:lvlJc w:val="left"/>
      <w:pPr>
        <w:ind w:left="621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abstractNum>
  <w:abstractNum w:abstractNumId="1" w15:restartNumberingAfterBreak="0">
    <w:nsid w:val="00000001"/>
    <w:multiLevelType w:val="hybridMultilevel"/>
    <w:tmpl w:val="6548E15A"/>
    <w:lvl w:ilvl="0" w:tplc="D1DA4F2A">
      <w:start w:val="1"/>
      <w:numFmt w:val="bullet"/>
      <w:lvlText w:val="•"/>
      <w:lvlJc w:val="left"/>
      <w:pPr>
        <w:ind w:left="1008"/>
      </w:pPr>
      <w:rPr>
        <w:rFonts w:ascii="Arial" w:eastAsia="Arial" w:hAnsi="Arial" w:cs="Arial"/>
        <w:b w:val="0"/>
        <w:i w:val="0"/>
        <w:color w:val="000000"/>
        <w:sz w:val="20"/>
        <w:szCs w:val="20"/>
        <w:u w:val="none" w:color="000000"/>
        <w:bdr w:val="none" w:sz="0" w:space="0" w:color="auto"/>
        <w:shd w:val="clear" w:color="auto" w:fill="auto"/>
        <w:vertAlign w:val="baseline"/>
      </w:rPr>
    </w:lvl>
    <w:lvl w:ilvl="1" w:tplc="77462D0A">
      <w:start w:val="1"/>
      <w:numFmt w:val="bullet"/>
      <w:lvlText w:val="o"/>
      <w:lvlJc w:val="left"/>
      <w:pPr>
        <w:ind w:left="172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2" w:tplc="430A32EA">
      <w:start w:val="1"/>
      <w:numFmt w:val="bullet"/>
      <w:lvlText w:val="▪"/>
      <w:lvlJc w:val="left"/>
      <w:pPr>
        <w:ind w:left="244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3" w:tplc="9E64F108">
      <w:start w:val="1"/>
      <w:numFmt w:val="bullet"/>
      <w:lvlText w:val="•"/>
      <w:lvlJc w:val="left"/>
      <w:pPr>
        <w:ind w:left="3168"/>
      </w:pPr>
      <w:rPr>
        <w:rFonts w:ascii="Arial" w:eastAsia="Arial" w:hAnsi="Arial" w:cs="Arial"/>
        <w:b w:val="0"/>
        <w:i w:val="0"/>
        <w:color w:val="000000"/>
        <w:sz w:val="20"/>
        <w:szCs w:val="20"/>
        <w:u w:val="none" w:color="000000"/>
        <w:bdr w:val="none" w:sz="0" w:space="0" w:color="auto"/>
        <w:shd w:val="clear" w:color="auto" w:fill="auto"/>
        <w:vertAlign w:val="baseline"/>
      </w:rPr>
    </w:lvl>
    <w:lvl w:ilvl="4" w:tplc="85E8A0C0">
      <w:start w:val="1"/>
      <w:numFmt w:val="bullet"/>
      <w:lvlText w:val="o"/>
      <w:lvlJc w:val="left"/>
      <w:pPr>
        <w:ind w:left="388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5" w:tplc="8BD4D1CC">
      <w:start w:val="1"/>
      <w:numFmt w:val="bullet"/>
      <w:lvlText w:val="▪"/>
      <w:lvlJc w:val="left"/>
      <w:pPr>
        <w:ind w:left="460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6" w:tplc="2E00297C">
      <w:start w:val="1"/>
      <w:numFmt w:val="bullet"/>
      <w:lvlText w:val="•"/>
      <w:lvlJc w:val="left"/>
      <w:pPr>
        <w:ind w:left="5328"/>
      </w:pPr>
      <w:rPr>
        <w:rFonts w:ascii="Arial" w:eastAsia="Arial" w:hAnsi="Arial" w:cs="Arial"/>
        <w:b w:val="0"/>
        <w:i w:val="0"/>
        <w:color w:val="000000"/>
        <w:sz w:val="20"/>
        <w:szCs w:val="20"/>
        <w:u w:val="none" w:color="000000"/>
        <w:bdr w:val="none" w:sz="0" w:space="0" w:color="auto"/>
        <w:shd w:val="clear" w:color="auto" w:fill="auto"/>
        <w:vertAlign w:val="baseline"/>
      </w:rPr>
    </w:lvl>
    <w:lvl w:ilvl="7" w:tplc="FC5A9EF2">
      <w:start w:val="1"/>
      <w:numFmt w:val="bullet"/>
      <w:lvlText w:val="o"/>
      <w:lvlJc w:val="left"/>
      <w:pPr>
        <w:ind w:left="604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8" w:tplc="3D58D720">
      <w:start w:val="1"/>
      <w:numFmt w:val="bullet"/>
      <w:lvlText w:val="▪"/>
      <w:lvlJc w:val="left"/>
      <w:pPr>
        <w:ind w:left="676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abstractNum>
  <w:num w:numId="1" w16cid:durableId="1829395848">
    <w:abstractNumId w:val="1"/>
  </w:num>
  <w:num w:numId="2" w16cid:durableId="180226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135"/>
    <w:rsid w:val="000F2D72"/>
    <w:rsid w:val="00183327"/>
    <w:rsid w:val="004C0C96"/>
    <w:rsid w:val="006E4DCD"/>
    <w:rsid w:val="00705488"/>
    <w:rsid w:val="007A4608"/>
    <w:rsid w:val="00BD0135"/>
    <w:rsid w:val="00BD44CD"/>
    <w:rsid w:val="00F91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FBBF"/>
  <w15:docId w15:val="{C440EBAB-8DD2-480E-93CA-A394D0E8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DCD"/>
    <w:pPr>
      <w:spacing w:after="7" w:line="235" w:lineRule="auto"/>
      <w:ind w:left="10" w:right="48"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3" w:line="269" w:lineRule="auto"/>
      <w:ind w:left="116" w:hanging="10"/>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53" w:line="269" w:lineRule="auto"/>
      <w:ind w:left="116" w:hanging="10"/>
      <w:outlineLvl w:val="1"/>
    </w:pPr>
    <w:rPr>
      <w:rFonts w:ascii="Times New Roman" w:eastAsia="Times New Roman" w:hAnsi="Times New Roman" w:cs="Times New Roman"/>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F2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5</Pages>
  <Words>3138</Words>
  <Characters>17891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HP</Company>
  <LinksUpToDate>false</LinksUpToDate>
  <CharactersWithSpaces>20988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Hopal, Pranav Devanand (Contractor)</cp:lastModifiedBy>
  <cp:revision>3</cp:revision>
  <dcterms:created xsi:type="dcterms:W3CDTF">2026-07-05T15:00:00Z</dcterms:created>
  <dcterms:modified xsi:type="dcterms:W3CDTF">2026-07-05T16:03:00Z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cf44e069fb274548b359203f1ef3f0ee_23</vt:lpwstr>
  </property>
</Properties>
</file>