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A1AC0" w14:textId="77777777" w:rsidR="0053317E" w:rsidRPr="0053317E" w:rsidRDefault="0053317E" w:rsidP="0053317E">
      <w:pPr>
        <w:spacing w:after="0"/>
        <w:jc w:val="center"/>
        <w:rPr>
          <w:rFonts w:ascii="Arial" w:hAnsi="Arial" w:cs="Arial"/>
          <w:b/>
          <w:bCs/>
          <w:sz w:val="32"/>
          <w:szCs w:val="32"/>
        </w:rPr>
      </w:pPr>
      <w:r w:rsidRPr="0053317E">
        <w:rPr>
          <w:rFonts w:ascii="Arial" w:hAnsi="Arial" w:cs="Arial"/>
          <w:b/>
          <w:bCs/>
          <w:sz w:val="32"/>
          <w:szCs w:val="32"/>
        </w:rPr>
        <w:t>CORPORATE STRATEGIC MEMORANDUM</w:t>
      </w:r>
    </w:p>
    <w:p w14:paraId="0B5C2162" w14:textId="77777777" w:rsidR="0053317E" w:rsidRDefault="0053317E" w:rsidP="0053317E">
      <w:pPr>
        <w:spacing w:after="0" w:line="360" w:lineRule="auto"/>
        <w:rPr>
          <w:rFonts w:ascii="Arial" w:hAnsi="Arial" w:cs="Arial"/>
          <w:b/>
          <w:bCs/>
        </w:rPr>
      </w:pPr>
    </w:p>
    <w:p w14:paraId="6620DDF6" w14:textId="5C74E403" w:rsidR="0053317E" w:rsidRPr="0053317E" w:rsidRDefault="0053317E" w:rsidP="0053317E">
      <w:pPr>
        <w:spacing w:after="0" w:line="360" w:lineRule="auto"/>
        <w:rPr>
          <w:rFonts w:ascii="Arial" w:hAnsi="Arial" w:cs="Arial"/>
        </w:rPr>
      </w:pPr>
      <w:r w:rsidRPr="0053317E">
        <w:rPr>
          <w:rFonts w:ascii="Arial" w:hAnsi="Arial" w:cs="Arial"/>
          <w:b/>
          <w:bCs/>
        </w:rPr>
        <w:t>TO:</w:t>
      </w:r>
      <w:r w:rsidRPr="0053317E">
        <w:rPr>
          <w:rFonts w:ascii="Arial" w:hAnsi="Arial" w:cs="Arial"/>
        </w:rPr>
        <w:t xml:space="preserve"> Executive Leadership Team / Operational Stakeholders</w:t>
      </w:r>
    </w:p>
    <w:p w14:paraId="15F018A3" w14:textId="3FAA745F" w:rsidR="0053317E" w:rsidRPr="0053317E" w:rsidRDefault="0053317E" w:rsidP="0053317E">
      <w:pPr>
        <w:spacing w:after="0" w:line="360" w:lineRule="auto"/>
        <w:rPr>
          <w:rFonts w:ascii="Arial" w:hAnsi="Arial" w:cs="Arial"/>
        </w:rPr>
      </w:pPr>
      <w:r w:rsidRPr="0053317E">
        <w:rPr>
          <w:rFonts w:ascii="Arial" w:hAnsi="Arial" w:cs="Arial"/>
          <w:b/>
          <w:bCs/>
        </w:rPr>
        <w:t>FROM:</w:t>
      </w:r>
      <w:r w:rsidRPr="0053317E">
        <w:rPr>
          <w:rFonts w:ascii="Arial" w:hAnsi="Arial" w:cs="Arial"/>
        </w:rPr>
        <w:t xml:space="preserve"> </w:t>
      </w:r>
      <w:r>
        <w:rPr>
          <w:rFonts w:ascii="Arial" w:hAnsi="Arial" w:cs="Arial"/>
        </w:rPr>
        <w:t>Pranav M S Krishnan</w:t>
      </w:r>
    </w:p>
    <w:p w14:paraId="36EDD8C4" w14:textId="77777777" w:rsidR="0053317E" w:rsidRPr="0053317E" w:rsidRDefault="0053317E" w:rsidP="0053317E">
      <w:pPr>
        <w:spacing w:after="0" w:line="360" w:lineRule="auto"/>
        <w:rPr>
          <w:rFonts w:ascii="Arial" w:hAnsi="Arial" w:cs="Arial"/>
        </w:rPr>
      </w:pPr>
      <w:r w:rsidRPr="0053317E">
        <w:rPr>
          <w:rFonts w:ascii="Arial" w:hAnsi="Arial" w:cs="Arial"/>
          <w:b/>
          <w:bCs/>
        </w:rPr>
        <w:t>DATE:</w:t>
      </w:r>
      <w:r w:rsidRPr="0053317E">
        <w:rPr>
          <w:rFonts w:ascii="Arial" w:hAnsi="Arial" w:cs="Arial"/>
        </w:rPr>
        <w:t xml:space="preserve"> June 12, 2026</w:t>
      </w:r>
    </w:p>
    <w:p w14:paraId="5DA1AFD8" w14:textId="77777777" w:rsidR="0053317E" w:rsidRPr="0053317E" w:rsidRDefault="0053317E" w:rsidP="0053317E">
      <w:pPr>
        <w:spacing w:after="0" w:line="360" w:lineRule="auto"/>
        <w:rPr>
          <w:rFonts w:ascii="Arial" w:hAnsi="Arial" w:cs="Arial"/>
        </w:rPr>
      </w:pPr>
      <w:r w:rsidRPr="0053317E">
        <w:rPr>
          <w:rFonts w:ascii="Arial" w:hAnsi="Arial" w:cs="Arial"/>
          <w:b/>
          <w:bCs/>
        </w:rPr>
        <w:t>SUBJECT:</w:t>
      </w:r>
      <w:r w:rsidRPr="0053317E">
        <w:rPr>
          <w:rFonts w:ascii="Arial" w:hAnsi="Arial" w:cs="Arial"/>
        </w:rPr>
        <w:t xml:space="preserve"> Revenue Optimization &amp; Profit Leakage Mitigation Strategy (FY14–FY17 Historical Audit)</w:t>
      </w:r>
    </w:p>
    <w:p w14:paraId="1EE3C6BD" w14:textId="57476AE7" w:rsidR="0053317E" w:rsidRPr="0053317E" w:rsidRDefault="0053317E" w:rsidP="0053317E">
      <w:pPr>
        <w:spacing w:after="0"/>
        <w:rPr>
          <w:rFonts w:ascii="Arial" w:hAnsi="Arial" w:cs="Arial"/>
          <w:b/>
          <w:bCs/>
          <w:sz w:val="28"/>
          <w:szCs w:val="28"/>
        </w:rPr>
      </w:pPr>
      <w:r w:rsidRPr="0053317E">
        <w:rPr>
          <w:rFonts w:ascii="Arial" w:hAnsi="Arial" w:cs="Arial"/>
          <w:b/>
          <w:bCs/>
          <w:sz w:val="28"/>
          <w:szCs w:val="28"/>
        </w:rPr>
        <w:t>Executive Summary</w:t>
      </w:r>
    </w:p>
    <w:p w14:paraId="234C0F43" w14:textId="77777777" w:rsidR="0053317E" w:rsidRPr="0053317E" w:rsidRDefault="0053317E" w:rsidP="0053317E">
      <w:pPr>
        <w:spacing w:after="0"/>
        <w:rPr>
          <w:rFonts w:ascii="Arial" w:hAnsi="Arial" w:cs="Arial"/>
        </w:rPr>
      </w:pPr>
      <w:r w:rsidRPr="0053317E">
        <w:rPr>
          <w:rFonts w:ascii="Arial" w:hAnsi="Arial" w:cs="Arial"/>
        </w:rPr>
        <w:t>A comprehensive transactional audit of 9,994 historical records from the FY14–FY17 operating cycles reveals that while the business maintains highly stable top-line revenue ($2.30M), gross profitability is being systematically eroded by uncoordinated promotional discounting and structurally flawed product lines.</w:t>
      </w:r>
    </w:p>
    <w:p w14:paraId="37F24592" w14:textId="77777777" w:rsidR="0053317E" w:rsidRPr="0053317E" w:rsidRDefault="0053317E" w:rsidP="0053317E">
      <w:pPr>
        <w:spacing w:after="0"/>
        <w:rPr>
          <w:rFonts w:ascii="Arial" w:hAnsi="Arial" w:cs="Arial"/>
        </w:rPr>
      </w:pPr>
      <w:r w:rsidRPr="0053317E">
        <w:rPr>
          <w:rFonts w:ascii="Arial" w:hAnsi="Arial" w:cs="Arial"/>
        </w:rPr>
        <w:t xml:space="preserve">While the aggregate net profit margin sits at a comfortable </w:t>
      </w:r>
      <w:r w:rsidRPr="0053317E">
        <w:rPr>
          <w:rFonts w:ascii="Arial" w:hAnsi="Arial" w:cs="Arial"/>
          <w:b/>
          <w:bCs/>
        </w:rPr>
        <w:t>12.5%</w:t>
      </w:r>
      <w:r w:rsidRPr="0053317E">
        <w:rPr>
          <w:rFonts w:ascii="Arial" w:hAnsi="Arial" w:cs="Arial"/>
        </w:rPr>
        <w:t xml:space="preserve"> ($286K total profit), this surface-level success masks severe value destruction. By identifying and isolating a highly concentrated operational segment—representing just 7.6% of historical order volume—the business can immediately plug a massive </w:t>
      </w:r>
      <w:r w:rsidRPr="0053317E">
        <w:rPr>
          <w:rFonts w:ascii="Arial" w:hAnsi="Arial" w:cs="Arial"/>
          <w:b/>
          <w:bCs/>
        </w:rPr>
        <w:t>$65,387 profit leak</w:t>
      </w:r>
      <w:r w:rsidRPr="0053317E">
        <w:rPr>
          <w:rFonts w:ascii="Arial" w:hAnsi="Arial" w:cs="Arial"/>
        </w:rPr>
        <w:t xml:space="preserve"> with minimal disruption to core customer acquisition or sales velocity.</w:t>
      </w:r>
    </w:p>
    <w:p w14:paraId="333E45CC" w14:textId="77777777" w:rsidR="0053317E" w:rsidRDefault="0053317E" w:rsidP="0053317E">
      <w:pPr>
        <w:spacing w:after="0"/>
        <w:rPr>
          <w:rFonts w:ascii="Arial" w:hAnsi="Arial" w:cs="Arial"/>
          <w:b/>
          <w:bCs/>
          <w:sz w:val="28"/>
          <w:szCs w:val="28"/>
        </w:rPr>
      </w:pPr>
    </w:p>
    <w:p w14:paraId="6463CFC6" w14:textId="528E2C17" w:rsidR="0053317E" w:rsidRPr="0053317E" w:rsidRDefault="0053317E" w:rsidP="0053317E">
      <w:pPr>
        <w:spacing w:after="0"/>
        <w:rPr>
          <w:rFonts w:ascii="Arial" w:hAnsi="Arial" w:cs="Arial"/>
          <w:b/>
          <w:bCs/>
          <w:sz w:val="28"/>
          <w:szCs w:val="28"/>
        </w:rPr>
      </w:pPr>
      <w:r w:rsidRPr="0053317E">
        <w:rPr>
          <w:rFonts w:ascii="Arial" w:hAnsi="Arial" w:cs="Arial"/>
          <w:b/>
          <w:bCs/>
          <w:sz w:val="28"/>
          <w:szCs w:val="28"/>
        </w:rPr>
        <w:t>Key Empirical Findings</w:t>
      </w:r>
    </w:p>
    <w:p w14:paraId="6426C1AF" w14:textId="77777777" w:rsidR="0053317E" w:rsidRPr="0053317E" w:rsidRDefault="0053317E" w:rsidP="0053317E">
      <w:pPr>
        <w:spacing w:after="0"/>
        <w:rPr>
          <w:rFonts w:ascii="Arial" w:hAnsi="Arial" w:cs="Arial"/>
          <w:b/>
          <w:bCs/>
        </w:rPr>
      </w:pPr>
      <w:r w:rsidRPr="0053317E">
        <w:rPr>
          <w:rFonts w:ascii="Arial" w:hAnsi="Arial" w:cs="Arial"/>
          <w:b/>
          <w:bCs/>
        </w:rPr>
        <w:t>Finding 1: The 20% Discount Cliff</w:t>
      </w:r>
    </w:p>
    <w:p w14:paraId="3DE13FD9" w14:textId="77777777" w:rsidR="0053317E" w:rsidRPr="0053317E" w:rsidRDefault="0053317E" w:rsidP="0053317E">
      <w:pPr>
        <w:spacing w:after="0"/>
        <w:rPr>
          <w:rFonts w:ascii="Arial" w:hAnsi="Arial" w:cs="Arial"/>
        </w:rPr>
      </w:pPr>
      <w:r w:rsidRPr="0053317E">
        <w:rPr>
          <w:rFonts w:ascii="Arial" w:hAnsi="Arial" w:cs="Arial"/>
        </w:rPr>
        <w:t>Statistical analysis proves a near-linear deterioration of product margins as promotional discount thresholds expand.</w:t>
      </w:r>
    </w:p>
    <w:p w14:paraId="055B498B" w14:textId="77777777" w:rsidR="0053317E" w:rsidRPr="0053317E" w:rsidRDefault="0053317E" w:rsidP="0053317E">
      <w:pPr>
        <w:numPr>
          <w:ilvl w:val="0"/>
          <w:numId w:val="1"/>
        </w:numPr>
        <w:spacing w:after="0"/>
        <w:rPr>
          <w:rFonts w:ascii="Arial" w:hAnsi="Arial" w:cs="Arial"/>
        </w:rPr>
      </w:pPr>
      <w:r w:rsidRPr="0053317E">
        <w:rPr>
          <w:rFonts w:ascii="Arial" w:hAnsi="Arial" w:cs="Arial"/>
          <w:b/>
          <w:bCs/>
        </w:rPr>
        <w:t>Baseline Performance:</w:t>
      </w:r>
      <w:r w:rsidRPr="0053317E">
        <w:rPr>
          <w:rFonts w:ascii="Arial" w:hAnsi="Arial" w:cs="Arial"/>
        </w:rPr>
        <w:t xml:space="preserve"> Transactions executed at a 0% discount baseline yield an exceptional </w:t>
      </w:r>
      <w:r w:rsidRPr="0053317E">
        <w:rPr>
          <w:rFonts w:ascii="Arial" w:hAnsi="Arial" w:cs="Arial"/>
          <w:b/>
          <w:bCs/>
        </w:rPr>
        <w:t>29.5% profit margin</w:t>
      </w:r>
      <w:r w:rsidRPr="0053317E">
        <w:rPr>
          <w:rFonts w:ascii="Arial" w:hAnsi="Arial" w:cs="Arial"/>
        </w:rPr>
        <w:t>. Margins contract but remain net-positive up to a strict 20% promotional cap.</w:t>
      </w:r>
    </w:p>
    <w:p w14:paraId="1A210794" w14:textId="77777777" w:rsidR="0053317E" w:rsidRPr="0053317E" w:rsidRDefault="0053317E" w:rsidP="0053317E">
      <w:pPr>
        <w:numPr>
          <w:ilvl w:val="0"/>
          <w:numId w:val="1"/>
        </w:numPr>
        <w:spacing w:after="0"/>
        <w:rPr>
          <w:rFonts w:ascii="Arial" w:hAnsi="Arial" w:cs="Arial"/>
        </w:rPr>
      </w:pPr>
      <w:r w:rsidRPr="0053317E">
        <w:rPr>
          <w:rFonts w:ascii="Arial" w:hAnsi="Arial" w:cs="Arial"/>
          <w:b/>
          <w:bCs/>
        </w:rPr>
        <w:t>The Margin Collapse:</w:t>
      </w:r>
      <w:r w:rsidRPr="0053317E">
        <w:rPr>
          <w:rFonts w:ascii="Arial" w:hAnsi="Arial" w:cs="Arial"/>
        </w:rPr>
        <w:t xml:space="preserve"> Crossing the 20% threshold triggers an immediate P&amp;L inversion. Profit margins collapse to </w:t>
      </w:r>
      <w:r w:rsidRPr="0053317E">
        <w:rPr>
          <w:rFonts w:ascii="Arial" w:hAnsi="Arial" w:cs="Arial"/>
          <w:b/>
          <w:bCs/>
        </w:rPr>
        <w:t>-10.0%</w:t>
      </w:r>
      <w:r w:rsidRPr="0053317E">
        <w:rPr>
          <w:rFonts w:ascii="Arial" w:hAnsi="Arial" w:cs="Arial"/>
        </w:rPr>
        <w:t xml:space="preserve"> in the 20–30% band, deteriorating to a catastrophic </w:t>
      </w:r>
      <w:r w:rsidRPr="0053317E">
        <w:rPr>
          <w:rFonts w:ascii="Arial" w:hAnsi="Arial" w:cs="Arial"/>
          <w:b/>
          <w:bCs/>
        </w:rPr>
        <w:t>-119.2% net loss</w:t>
      </w:r>
      <w:r w:rsidRPr="0053317E">
        <w:rPr>
          <w:rFonts w:ascii="Arial" w:hAnsi="Arial" w:cs="Arial"/>
        </w:rPr>
        <w:t xml:space="preserve"> on orders carrying a 50%+ markdown.</w:t>
      </w:r>
    </w:p>
    <w:p w14:paraId="002C8772" w14:textId="57A334FC" w:rsidR="0053317E" w:rsidRPr="0053317E" w:rsidRDefault="0053317E" w:rsidP="0053317E">
      <w:pPr>
        <w:numPr>
          <w:ilvl w:val="0"/>
          <w:numId w:val="1"/>
        </w:numPr>
        <w:spacing w:after="0"/>
        <w:rPr>
          <w:rFonts w:ascii="Arial" w:hAnsi="Arial" w:cs="Arial"/>
        </w:rPr>
      </w:pPr>
      <w:r>
        <w:rPr>
          <w:rFonts w:ascii="Arial" w:hAnsi="Arial" w:cs="Arial"/>
          <w:noProof/>
        </w:rPr>
        <w:drawing>
          <wp:anchor distT="0" distB="0" distL="114300" distR="114300" simplePos="0" relativeHeight="251658240" behindDoc="0" locked="0" layoutInCell="1" allowOverlap="1" wp14:anchorId="4EC5A984" wp14:editId="3083902E">
            <wp:simplePos x="0" y="0"/>
            <wp:positionH relativeFrom="margin">
              <wp:align>center</wp:align>
            </wp:positionH>
            <wp:positionV relativeFrom="paragraph">
              <wp:posOffset>868680</wp:posOffset>
            </wp:positionV>
            <wp:extent cx="3726180" cy="2309769"/>
            <wp:effectExtent l="0" t="0" r="7620" b="0"/>
            <wp:wrapTopAndBottom/>
            <wp:docPr id="20419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5579" name="Picture 204195579"/>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26180" cy="2309769"/>
                    </a:xfrm>
                    <a:prstGeom prst="rect">
                      <a:avLst/>
                    </a:prstGeom>
                  </pic:spPr>
                </pic:pic>
              </a:graphicData>
            </a:graphic>
          </wp:anchor>
        </w:drawing>
      </w:r>
      <w:r w:rsidRPr="0053317E">
        <w:rPr>
          <w:rFonts w:ascii="Arial" w:hAnsi="Arial" w:cs="Arial"/>
          <w:b/>
          <w:bCs/>
        </w:rPr>
        <w:t>Financial Impact:</w:t>
      </w:r>
      <w:r w:rsidRPr="0053317E">
        <w:rPr>
          <w:rFonts w:ascii="Arial" w:hAnsi="Arial" w:cs="Arial"/>
        </w:rPr>
        <w:t xml:space="preserve"> In total, undisciplined discounting above the 20% threshold has actively destroyed </w:t>
      </w:r>
      <w:r w:rsidRPr="0053317E">
        <w:rPr>
          <w:rFonts w:ascii="Arial" w:hAnsi="Arial" w:cs="Arial"/>
          <w:b/>
          <w:bCs/>
        </w:rPr>
        <w:t>$135,376 in net profit</w:t>
      </w:r>
      <w:r w:rsidRPr="0053317E">
        <w:rPr>
          <w:rFonts w:ascii="Arial" w:hAnsi="Arial" w:cs="Arial"/>
        </w:rPr>
        <w:t xml:space="preserve">. Geographically and vertically, this vulnerability is concentrated in the </w:t>
      </w:r>
      <w:r w:rsidRPr="0053317E">
        <w:rPr>
          <w:rFonts w:ascii="Arial" w:hAnsi="Arial" w:cs="Arial"/>
          <w:b/>
          <w:bCs/>
        </w:rPr>
        <w:t>Central Region's Office Supplies</w:t>
      </w:r>
      <w:r w:rsidRPr="0053317E">
        <w:rPr>
          <w:rFonts w:ascii="Arial" w:hAnsi="Arial" w:cs="Arial"/>
        </w:rPr>
        <w:t xml:space="preserve"> sector, which single-handedly leaked </w:t>
      </w:r>
      <w:r w:rsidRPr="0053317E">
        <w:rPr>
          <w:rFonts w:ascii="Arial" w:hAnsi="Arial" w:cs="Arial"/>
          <w:b/>
          <w:bCs/>
        </w:rPr>
        <w:t>$30,539</w:t>
      </w:r>
      <w:r w:rsidRPr="0053317E">
        <w:rPr>
          <w:rFonts w:ascii="Arial" w:hAnsi="Arial" w:cs="Arial"/>
        </w:rPr>
        <w:t xml:space="preserve"> due to promotional over-indexing.</w:t>
      </w:r>
    </w:p>
    <w:p w14:paraId="0F318C30" w14:textId="77CB91BF" w:rsidR="0053317E" w:rsidRPr="0053317E" w:rsidRDefault="0053317E" w:rsidP="0053317E">
      <w:pPr>
        <w:jc w:val="right"/>
        <w:rPr>
          <w:rFonts w:ascii="Arial" w:hAnsi="Arial" w:cs="Arial"/>
        </w:rPr>
      </w:pPr>
    </w:p>
    <w:p w14:paraId="1B88E9A2" w14:textId="77777777" w:rsidR="0053317E" w:rsidRDefault="0053317E" w:rsidP="0053317E">
      <w:pPr>
        <w:rPr>
          <w:rFonts w:ascii="Arial" w:hAnsi="Arial" w:cs="Arial"/>
          <w:b/>
          <w:bCs/>
        </w:rPr>
      </w:pPr>
    </w:p>
    <w:p w14:paraId="1AB975DE" w14:textId="77087BF9" w:rsidR="0053317E" w:rsidRPr="0053317E" w:rsidRDefault="0053317E" w:rsidP="0053317E">
      <w:pPr>
        <w:rPr>
          <w:rFonts w:ascii="Arial" w:hAnsi="Arial" w:cs="Arial"/>
          <w:b/>
          <w:bCs/>
        </w:rPr>
      </w:pPr>
      <w:r w:rsidRPr="0053317E">
        <w:rPr>
          <w:rFonts w:ascii="Arial" w:hAnsi="Arial" w:cs="Arial"/>
          <w:b/>
          <w:bCs/>
        </w:rPr>
        <w:lastRenderedPageBreak/>
        <w:t>Finding 2: Structural Product Cost &amp; SKU Drag</w:t>
      </w:r>
    </w:p>
    <w:p w14:paraId="57EB90CD" w14:textId="77777777" w:rsidR="0053317E" w:rsidRPr="0053317E" w:rsidRDefault="0053317E" w:rsidP="0053317E">
      <w:pPr>
        <w:rPr>
          <w:rFonts w:ascii="Arial" w:hAnsi="Arial" w:cs="Arial"/>
        </w:rPr>
      </w:pPr>
      <w:r w:rsidRPr="0053317E">
        <w:rPr>
          <w:rFonts w:ascii="Arial" w:hAnsi="Arial" w:cs="Arial"/>
        </w:rPr>
        <w:t>Profitability issues are not entirely promotional; certain sub-categories are fundamentally mispriced at the baseline or carry unsustainably high supply chain/inventory overhead.</w:t>
      </w:r>
    </w:p>
    <w:p w14:paraId="031EE96F" w14:textId="77777777" w:rsidR="0053317E" w:rsidRPr="0053317E" w:rsidRDefault="0053317E" w:rsidP="0053317E">
      <w:pPr>
        <w:numPr>
          <w:ilvl w:val="0"/>
          <w:numId w:val="2"/>
        </w:numPr>
        <w:rPr>
          <w:rFonts w:ascii="Arial" w:hAnsi="Arial" w:cs="Arial"/>
        </w:rPr>
      </w:pPr>
      <w:r w:rsidRPr="0053317E">
        <w:rPr>
          <w:rFonts w:ascii="Arial" w:hAnsi="Arial" w:cs="Arial"/>
          <w:b/>
          <w:bCs/>
        </w:rPr>
        <w:t>Sub-Category Losers:</w:t>
      </w:r>
      <w:r w:rsidRPr="0053317E">
        <w:rPr>
          <w:rFonts w:ascii="Arial" w:hAnsi="Arial" w:cs="Arial"/>
        </w:rPr>
        <w:t xml:space="preserve"> </w:t>
      </w:r>
      <w:r w:rsidRPr="0053317E">
        <w:rPr>
          <w:rFonts w:ascii="Arial" w:hAnsi="Arial" w:cs="Arial"/>
          <w:b/>
          <w:bCs/>
        </w:rPr>
        <w:t>Tables</w:t>
      </w:r>
      <w:r w:rsidRPr="0053317E">
        <w:rPr>
          <w:rFonts w:ascii="Arial" w:hAnsi="Arial" w:cs="Arial"/>
        </w:rPr>
        <w:t xml:space="preserve"> represent our most severe structural risk, losing </w:t>
      </w:r>
      <w:r w:rsidRPr="0053317E">
        <w:rPr>
          <w:rFonts w:ascii="Arial" w:hAnsi="Arial" w:cs="Arial"/>
          <w:b/>
          <w:bCs/>
        </w:rPr>
        <w:t>$17,725</w:t>
      </w:r>
      <w:r w:rsidRPr="0053317E">
        <w:rPr>
          <w:rFonts w:ascii="Arial" w:hAnsi="Arial" w:cs="Arial"/>
        </w:rPr>
        <w:t xml:space="preserve"> on $207K of sales, operating at a permanent </w:t>
      </w:r>
      <w:r w:rsidRPr="0053317E">
        <w:rPr>
          <w:rFonts w:ascii="Arial" w:hAnsi="Arial" w:cs="Arial"/>
          <w:b/>
          <w:bCs/>
        </w:rPr>
        <w:t>-8.6% net margin</w:t>
      </w:r>
      <w:r w:rsidRPr="0053317E">
        <w:rPr>
          <w:rFonts w:ascii="Arial" w:hAnsi="Arial" w:cs="Arial"/>
        </w:rPr>
        <w:t xml:space="preserve"> before promotional discounts are applied. </w:t>
      </w:r>
      <w:r w:rsidRPr="0053317E">
        <w:rPr>
          <w:rFonts w:ascii="Arial" w:hAnsi="Arial" w:cs="Arial"/>
          <w:b/>
          <w:bCs/>
        </w:rPr>
        <w:t>Bookcases (-3.0% margin)</w:t>
      </w:r>
      <w:r w:rsidRPr="0053317E">
        <w:rPr>
          <w:rFonts w:ascii="Arial" w:hAnsi="Arial" w:cs="Arial"/>
        </w:rPr>
        <w:t xml:space="preserve"> and </w:t>
      </w:r>
      <w:r w:rsidRPr="0053317E">
        <w:rPr>
          <w:rFonts w:ascii="Arial" w:hAnsi="Arial" w:cs="Arial"/>
          <w:b/>
          <w:bCs/>
        </w:rPr>
        <w:t>Supplies (-2.5% margin)</w:t>
      </w:r>
      <w:r w:rsidRPr="0053317E">
        <w:rPr>
          <w:rFonts w:ascii="Arial" w:hAnsi="Arial" w:cs="Arial"/>
        </w:rPr>
        <w:t xml:space="preserve"> are similarly net-negative.</w:t>
      </w:r>
    </w:p>
    <w:p w14:paraId="53EDFC73" w14:textId="3E3687DC" w:rsidR="0053317E" w:rsidRPr="0053317E" w:rsidRDefault="002C790C" w:rsidP="0053317E">
      <w:pPr>
        <w:numPr>
          <w:ilvl w:val="0"/>
          <w:numId w:val="2"/>
        </w:numPr>
        <w:rPr>
          <w:rFonts w:ascii="Arial" w:hAnsi="Arial" w:cs="Arial"/>
        </w:rPr>
      </w:pPr>
      <w:r>
        <w:rPr>
          <w:rFonts w:ascii="Arial" w:hAnsi="Arial" w:cs="Arial"/>
          <w:noProof/>
        </w:rPr>
        <w:drawing>
          <wp:anchor distT="0" distB="0" distL="114300" distR="114300" simplePos="0" relativeHeight="251659264" behindDoc="0" locked="0" layoutInCell="1" allowOverlap="1" wp14:anchorId="34A3F32C" wp14:editId="7571F229">
            <wp:simplePos x="0" y="0"/>
            <wp:positionH relativeFrom="margin">
              <wp:align>center</wp:align>
            </wp:positionH>
            <wp:positionV relativeFrom="paragraph">
              <wp:posOffset>638175</wp:posOffset>
            </wp:positionV>
            <wp:extent cx="4444365" cy="3444240"/>
            <wp:effectExtent l="0" t="0" r="0" b="3810"/>
            <wp:wrapTopAndBottom/>
            <wp:docPr id="600345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44365" cy="3444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317E" w:rsidRPr="0053317E">
        <w:rPr>
          <w:rFonts w:ascii="Arial" w:hAnsi="Arial" w:cs="Arial"/>
          <w:b/>
          <w:bCs/>
        </w:rPr>
        <w:t>Toxic Asset SKUs:</w:t>
      </w:r>
      <w:r w:rsidR="0053317E" w:rsidRPr="0053317E">
        <w:rPr>
          <w:rFonts w:ascii="Arial" w:hAnsi="Arial" w:cs="Arial"/>
        </w:rPr>
        <w:t xml:space="preserve"> This capital drain is heavily concentrated in low-volume, high-cost specialty equipment. Most notably, the </w:t>
      </w:r>
      <w:proofErr w:type="spellStart"/>
      <w:r w:rsidR="0053317E" w:rsidRPr="0053317E">
        <w:rPr>
          <w:rFonts w:ascii="Arial" w:hAnsi="Arial" w:cs="Arial"/>
          <w:b/>
          <w:bCs/>
        </w:rPr>
        <w:t>Cubify</w:t>
      </w:r>
      <w:proofErr w:type="spellEnd"/>
      <w:r w:rsidR="0053317E" w:rsidRPr="0053317E">
        <w:rPr>
          <w:rFonts w:ascii="Arial" w:hAnsi="Arial" w:cs="Arial"/>
          <w:b/>
          <w:bCs/>
        </w:rPr>
        <w:t xml:space="preserve"> </w:t>
      </w:r>
      <w:proofErr w:type="spellStart"/>
      <w:r w:rsidR="0053317E" w:rsidRPr="0053317E">
        <w:rPr>
          <w:rFonts w:ascii="Arial" w:hAnsi="Arial" w:cs="Arial"/>
          <w:b/>
          <w:bCs/>
        </w:rPr>
        <w:t>CubeX</w:t>
      </w:r>
      <w:proofErr w:type="spellEnd"/>
      <w:r w:rsidR="0053317E" w:rsidRPr="0053317E">
        <w:rPr>
          <w:rFonts w:ascii="Arial" w:hAnsi="Arial" w:cs="Arial"/>
          <w:b/>
          <w:bCs/>
        </w:rPr>
        <w:t xml:space="preserve"> 3D Printer line</w:t>
      </w:r>
      <w:r w:rsidR="0053317E" w:rsidRPr="0053317E">
        <w:rPr>
          <w:rFonts w:ascii="Arial" w:hAnsi="Arial" w:cs="Arial"/>
        </w:rPr>
        <w:t xml:space="preserve"> combined for nearly </w:t>
      </w:r>
      <w:r w:rsidR="0053317E" w:rsidRPr="0053317E">
        <w:rPr>
          <w:rFonts w:ascii="Arial" w:hAnsi="Arial" w:cs="Arial"/>
          <w:b/>
          <w:bCs/>
        </w:rPr>
        <w:t>$13,000 in absolute losses across just four individual transactions</w:t>
      </w:r>
      <w:r w:rsidR="0053317E" w:rsidRPr="0053317E">
        <w:rPr>
          <w:rFonts w:ascii="Arial" w:hAnsi="Arial" w:cs="Arial"/>
        </w:rPr>
        <w:t>.</w:t>
      </w:r>
    </w:p>
    <w:p w14:paraId="00615196" w14:textId="594B70E3" w:rsidR="0053317E" w:rsidRPr="0053317E" w:rsidRDefault="0053317E" w:rsidP="0053317E">
      <w:pPr>
        <w:rPr>
          <w:rFonts w:ascii="Arial" w:hAnsi="Arial" w:cs="Arial"/>
          <w:b/>
          <w:bCs/>
        </w:rPr>
      </w:pPr>
    </w:p>
    <w:p w14:paraId="59C391BB" w14:textId="77777777" w:rsidR="002C790C" w:rsidRDefault="002C790C" w:rsidP="0053317E">
      <w:pPr>
        <w:rPr>
          <w:rFonts w:ascii="Arial" w:hAnsi="Arial" w:cs="Arial"/>
          <w:b/>
          <w:bCs/>
        </w:rPr>
      </w:pPr>
    </w:p>
    <w:p w14:paraId="07D8016F" w14:textId="1F88AF8E" w:rsidR="0053317E" w:rsidRPr="0053317E" w:rsidRDefault="0053317E" w:rsidP="0053317E">
      <w:pPr>
        <w:rPr>
          <w:rFonts w:ascii="Arial" w:hAnsi="Arial" w:cs="Arial"/>
          <w:b/>
          <w:bCs/>
        </w:rPr>
      </w:pPr>
      <w:r w:rsidRPr="0053317E">
        <w:rPr>
          <w:rFonts w:ascii="Arial" w:hAnsi="Arial" w:cs="Arial"/>
          <w:b/>
          <w:bCs/>
        </w:rPr>
        <w:t>Finding 3: Operational Volume Share vs. Margin Drag</w:t>
      </w:r>
    </w:p>
    <w:p w14:paraId="04BBA684" w14:textId="77777777" w:rsidR="0053317E" w:rsidRPr="0053317E" w:rsidRDefault="0053317E" w:rsidP="0053317E">
      <w:pPr>
        <w:rPr>
          <w:rFonts w:ascii="Arial" w:hAnsi="Arial" w:cs="Arial"/>
        </w:rPr>
      </w:pPr>
      <w:r w:rsidRPr="0053317E">
        <w:rPr>
          <w:rFonts w:ascii="Arial" w:hAnsi="Arial" w:cs="Arial"/>
        </w:rPr>
        <w:t>An evaluation of logistics channels shows that shipping mode choice acts primarily as an expression of customer preference rather than an organic driver of profitability margins, which remain uniformly flat at 12.1%–13.9% across all lanes.</w:t>
      </w:r>
    </w:p>
    <w:p w14:paraId="2DEFC95B" w14:textId="77777777" w:rsidR="0053317E" w:rsidRPr="0053317E" w:rsidRDefault="0053317E" w:rsidP="0053317E">
      <w:pPr>
        <w:rPr>
          <w:rFonts w:ascii="Arial" w:hAnsi="Arial" w:cs="Arial"/>
        </w:rPr>
      </w:pPr>
      <w:r w:rsidRPr="0053317E">
        <w:rPr>
          <w:rFonts w:ascii="Arial" w:hAnsi="Arial" w:cs="Arial"/>
        </w:rPr>
        <w:t xml:space="preserve">However, </w:t>
      </w:r>
      <w:r w:rsidRPr="0053317E">
        <w:rPr>
          <w:rFonts w:ascii="Arial" w:hAnsi="Arial" w:cs="Arial"/>
          <w:b/>
          <w:bCs/>
        </w:rPr>
        <w:t>Standard Class shipping</w:t>
      </w:r>
      <w:r w:rsidRPr="0053317E">
        <w:rPr>
          <w:rFonts w:ascii="Arial" w:hAnsi="Arial" w:cs="Arial"/>
        </w:rPr>
        <w:t xml:space="preserve"> commands an overwhelming </w:t>
      </w:r>
      <w:r w:rsidRPr="0053317E">
        <w:rPr>
          <w:rFonts w:ascii="Arial" w:hAnsi="Arial" w:cs="Arial"/>
          <w:b/>
          <w:bCs/>
        </w:rPr>
        <w:t>59.7% share of all order volume ($1.36M in sales)</w:t>
      </w:r>
      <w:r w:rsidRPr="0053317E">
        <w:rPr>
          <w:rFonts w:ascii="Arial" w:hAnsi="Arial" w:cs="Arial"/>
        </w:rPr>
        <w:t xml:space="preserve">. Because it handles the absolute majority of our commerce, Standard Class carries outsized financial leverage. Crucially, it registers the lowest organic margin (12.1%) and the highest transactional loss-making risk, with </w:t>
      </w:r>
      <w:r w:rsidRPr="0053317E">
        <w:rPr>
          <w:rFonts w:ascii="Arial" w:hAnsi="Arial" w:cs="Arial"/>
          <w:b/>
          <w:bCs/>
        </w:rPr>
        <w:t>19.7% of all Standard Class shipments resulting in a net financial loss</w:t>
      </w:r>
      <w:r w:rsidRPr="0053317E">
        <w:rPr>
          <w:rFonts w:ascii="Arial" w:hAnsi="Arial" w:cs="Arial"/>
        </w:rPr>
        <w:t>.</w:t>
      </w:r>
    </w:p>
    <w:p w14:paraId="2B5C5293" w14:textId="77777777" w:rsidR="002C790C" w:rsidRDefault="002C790C" w:rsidP="0053317E">
      <w:pPr>
        <w:rPr>
          <w:rFonts w:ascii="Arial" w:hAnsi="Arial" w:cs="Arial"/>
        </w:rPr>
      </w:pPr>
    </w:p>
    <w:p w14:paraId="02D2C1DE" w14:textId="77777777" w:rsidR="002C790C" w:rsidRDefault="002C790C" w:rsidP="0053317E">
      <w:pPr>
        <w:rPr>
          <w:rFonts w:ascii="Arial" w:hAnsi="Arial" w:cs="Arial"/>
        </w:rPr>
      </w:pPr>
    </w:p>
    <w:p w14:paraId="1D295730" w14:textId="77777777" w:rsidR="002C790C" w:rsidRDefault="002C790C" w:rsidP="0053317E">
      <w:pPr>
        <w:rPr>
          <w:rFonts w:ascii="Arial" w:hAnsi="Arial" w:cs="Arial"/>
        </w:rPr>
      </w:pPr>
    </w:p>
    <w:p w14:paraId="3CDA58AD" w14:textId="4981CD47" w:rsidR="002C790C" w:rsidRDefault="002C790C" w:rsidP="0053317E">
      <w:pPr>
        <w:rPr>
          <w:rFonts w:ascii="Segoe UI Emoji" w:hAnsi="Segoe UI Emoji" w:cs="Segoe UI Emoji"/>
          <w:b/>
          <w:bCs/>
        </w:rPr>
      </w:pPr>
      <w:r>
        <w:rPr>
          <w:rFonts w:ascii="Segoe UI Emoji" w:hAnsi="Segoe UI Emoji" w:cs="Segoe UI Emoji"/>
          <w:b/>
          <w:bCs/>
          <w:noProof/>
        </w:rPr>
        <w:lastRenderedPageBreak/>
        <w:drawing>
          <wp:inline distT="0" distB="0" distL="0" distR="0" wp14:anchorId="064C3298" wp14:editId="4381114F">
            <wp:extent cx="5730240" cy="3954780"/>
            <wp:effectExtent l="0" t="0" r="3810" b="7620"/>
            <wp:docPr id="1505569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3954780"/>
                    </a:xfrm>
                    <a:prstGeom prst="rect">
                      <a:avLst/>
                    </a:prstGeom>
                    <a:noFill/>
                    <a:ln>
                      <a:noFill/>
                    </a:ln>
                  </pic:spPr>
                </pic:pic>
              </a:graphicData>
            </a:graphic>
          </wp:inline>
        </w:drawing>
      </w:r>
    </w:p>
    <w:p w14:paraId="6F9B8059" w14:textId="6FA09DF3" w:rsidR="0053317E" w:rsidRPr="002C790C" w:rsidRDefault="0053317E" w:rsidP="0053317E">
      <w:pPr>
        <w:rPr>
          <w:rFonts w:ascii="Arial" w:hAnsi="Arial" w:cs="Arial"/>
          <w:b/>
          <w:bCs/>
          <w:sz w:val="28"/>
          <w:szCs w:val="28"/>
        </w:rPr>
      </w:pPr>
      <w:r w:rsidRPr="002C790C">
        <w:rPr>
          <w:rFonts w:ascii="Arial" w:hAnsi="Arial" w:cs="Arial"/>
          <w:b/>
          <w:bCs/>
          <w:sz w:val="28"/>
          <w:szCs w:val="28"/>
        </w:rPr>
        <w:t>The Tactical Target: Where to Act First</w:t>
      </w:r>
    </w:p>
    <w:p w14:paraId="3B97CA8C" w14:textId="77777777" w:rsidR="0053317E" w:rsidRPr="0053317E" w:rsidRDefault="0053317E" w:rsidP="0053317E">
      <w:pPr>
        <w:rPr>
          <w:rFonts w:ascii="Arial" w:hAnsi="Arial" w:cs="Arial"/>
        </w:rPr>
      </w:pPr>
      <w:r w:rsidRPr="0053317E">
        <w:rPr>
          <w:rFonts w:ascii="Arial" w:hAnsi="Arial" w:cs="Arial"/>
        </w:rPr>
        <w:t>Rather than deploying a broad, disruptive corporate policy shift, data cross-cutting reveals an incredibly precise, high-leverage target for operational intervention.</w:t>
      </w:r>
    </w:p>
    <w:p w14:paraId="49422C35" w14:textId="77777777" w:rsidR="0053317E" w:rsidRPr="0053317E" w:rsidRDefault="0053317E" w:rsidP="0053317E">
      <w:pPr>
        <w:rPr>
          <w:rFonts w:ascii="Arial" w:hAnsi="Arial" w:cs="Arial"/>
        </w:rPr>
      </w:pPr>
      <w:r w:rsidRPr="0053317E">
        <w:rPr>
          <w:rFonts w:ascii="Arial" w:hAnsi="Arial" w:cs="Arial"/>
        </w:rPr>
        <w:t>By intersecting our three core vulnerabilities, we isolate transactions that are:</w:t>
      </w:r>
    </w:p>
    <w:p w14:paraId="0AA6D4CF" w14:textId="77777777" w:rsidR="0053317E" w:rsidRPr="0053317E" w:rsidRDefault="0053317E" w:rsidP="0053317E">
      <w:pPr>
        <w:numPr>
          <w:ilvl w:val="0"/>
          <w:numId w:val="3"/>
        </w:numPr>
        <w:rPr>
          <w:rFonts w:ascii="Arial" w:hAnsi="Arial" w:cs="Arial"/>
        </w:rPr>
      </w:pPr>
      <w:r w:rsidRPr="0053317E">
        <w:rPr>
          <w:rFonts w:ascii="Arial" w:hAnsi="Arial" w:cs="Arial"/>
        </w:rPr>
        <w:t xml:space="preserve">Shipped via </w:t>
      </w:r>
      <w:r w:rsidRPr="0053317E">
        <w:rPr>
          <w:rFonts w:ascii="Arial" w:hAnsi="Arial" w:cs="Arial"/>
          <w:b/>
          <w:bCs/>
        </w:rPr>
        <w:t>Standard Class</w:t>
      </w:r>
    </w:p>
    <w:p w14:paraId="3D3EBDB9" w14:textId="77777777" w:rsidR="0053317E" w:rsidRPr="0053317E" w:rsidRDefault="0053317E" w:rsidP="0053317E">
      <w:pPr>
        <w:numPr>
          <w:ilvl w:val="0"/>
          <w:numId w:val="3"/>
        </w:numPr>
        <w:rPr>
          <w:rFonts w:ascii="Arial" w:hAnsi="Arial" w:cs="Arial"/>
        </w:rPr>
      </w:pPr>
      <w:r w:rsidRPr="0053317E">
        <w:rPr>
          <w:rFonts w:ascii="Arial" w:hAnsi="Arial" w:cs="Arial"/>
        </w:rPr>
        <w:t xml:space="preserve">Fall under </w:t>
      </w:r>
      <w:r w:rsidRPr="0053317E">
        <w:rPr>
          <w:rFonts w:ascii="Arial" w:hAnsi="Arial" w:cs="Arial"/>
          <w:b/>
          <w:bCs/>
        </w:rPr>
        <w:t>Furniture or Office Supplies</w:t>
      </w:r>
    </w:p>
    <w:p w14:paraId="2B0148B6" w14:textId="77777777" w:rsidR="0053317E" w:rsidRPr="0053317E" w:rsidRDefault="0053317E" w:rsidP="0053317E">
      <w:pPr>
        <w:numPr>
          <w:ilvl w:val="0"/>
          <w:numId w:val="3"/>
        </w:numPr>
        <w:rPr>
          <w:rFonts w:ascii="Arial" w:hAnsi="Arial" w:cs="Arial"/>
        </w:rPr>
      </w:pPr>
      <w:r w:rsidRPr="0053317E">
        <w:rPr>
          <w:rFonts w:ascii="Arial" w:hAnsi="Arial" w:cs="Arial"/>
        </w:rPr>
        <w:t xml:space="preserve">Carry a promotional </w:t>
      </w:r>
      <w:r w:rsidRPr="0053317E">
        <w:rPr>
          <w:rFonts w:ascii="Arial" w:hAnsi="Arial" w:cs="Arial"/>
          <w:b/>
          <w:bCs/>
        </w:rPr>
        <w:t>Discount strictly greater than 20%</w:t>
      </w:r>
    </w:p>
    <w:p w14:paraId="07E632F8" w14:textId="77777777" w:rsidR="002C790C" w:rsidRDefault="002C790C" w:rsidP="0053317E">
      <w:pPr>
        <w:rPr>
          <w:rFonts w:ascii="Segoe UI Emoji" w:hAnsi="Segoe UI Emoji" w:cs="Segoe UI Emoji"/>
        </w:rPr>
      </w:pPr>
    </w:p>
    <w:p w14:paraId="6B4F342C" w14:textId="08678F04" w:rsidR="0053317E" w:rsidRPr="002C790C" w:rsidRDefault="0053317E" w:rsidP="0053317E">
      <w:pPr>
        <w:rPr>
          <w:rFonts w:ascii="Arial" w:hAnsi="Arial" w:cs="Arial"/>
          <w:b/>
          <w:bCs/>
          <w:sz w:val="32"/>
          <w:szCs w:val="32"/>
        </w:rPr>
      </w:pPr>
      <w:r w:rsidRPr="002C790C">
        <w:rPr>
          <w:rFonts w:ascii="Arial" w:hAnsi="Arial" w:cs="Arial"/>
          <w:b/>
          <w:bCs/>
          <w:sz w:val="32"/>
          <w:szCs w:val="32"/>
        </w:rPr>
        <w:t>CRITICAL INTERSECTION PERFORMANCE METRICS</w:t>
      </w:r>
    </w:p>
    <w:p w14:paraId="589175D1" w14:textId="77777777" w:rsidR="0053317E" w:rsidRPr="0053317E" w:rsidRDefault="0053317E" w:rsidP="0053317E">
      <w:pPr>
        <w:rPr>
          <w:rFonts w:ascii="Arial" w:hAnsi="Arial" w:cs="Arial"/>
        </w:rPr>
      </w:pPr>
      <w:r w:rsidRPr="0053317E">
        <w:rPr>
          <w:rFonts w:ascii="Arial" w:hAnsi="Arial" w:cs="Arial"/>
        </w:rPr>
        <w:t>===================================================</w:t>
      </w:r>
    </w:p>
    <w:p w14:paraId="5F61BA40" w14:textId="77777777" w:rsidR="0053317E" w:rsidRPr="0053317E" w:rsidRDefault="0053317E" w:rsidP="0053317E">
      <w:pPr>
        <w:rPr>
          <w:rFonts w:ascii="Arial" w:hAnsi="Arial" w:cs="Arial"/>
        </w:rPr>
      </w:pPr>
      <w:r w:rsidRPr="0053317E">
        <w:rPr>
          <w:rFonts w:ascii="Arial" w:hAnsi="Arial" w:cs="Arial"/>
        </w:rPr>
        <w:t>Total Affected Orders:   759 (7.6% of total volume)</w:t>
      </w:r>
    </w:p>
    <w:p w14:paraId="43331599" w14:textId="2A92BB0A" w:rsidR="0053317E" w:rsidRPr="0053317E" w:rsidRDefault="0053317E" w:rsidP="0053317E">
      <w:pPr>
        <w:rPr>
          <w:rFonts w:ascii="Arial" w:hAnsi="Arial" w:cs="Arial"/>
        </w:rPr>
      </w:pPr>
      <w:r w:rsidRPr="0053317E">
        <w:rPr>
          <w:rFonts w:ascii="Arial" w:hAnsi="Arial" w:cs="Arial"/>
        </w:rPr>
        <w:t>Total Logged Sales:      $</w:t>
      </w:r>
      <w:r w:rsidR="002C790C">
        <w:rPr>
          <w:rFonts w:ascii="Arial" w:hAnsi="Arial" w:cs="Arial"/>
        </w:rPr>
        <w:t>2.3M</w:t>
      </w:r>
    </w:p>
    <w:p w14:paraId="19D05B16" w14:textId="77777777" w:rsidR="0053317E" w:rsidRPr="0053317E" w:rsidRDefault="0053317E" w:rsidP="0053317E">
      <w:pPr>
        <w:rPr>
          <w:rFonts w:ascii="Arial" w:hAnsi="Arial" w:cs="Arial"/>
        </w:rPr>
      </w:pPr>
      <w:r w:rsidRPr="0053317E">
        <w:rPr>
          <w:rFonts w:ascii="Arial" w:hAnsi="Arial" w:cs="Arial"/>
        </w:rPr>
        <w:t>Total Capital Destroyed: -$65,387</w:t>
      </w:r>
    </w:p>
    <w:p w14:paraId="69431FED" w14:textId="77777777" w:rsidR="0053317E" w:rsidRPr="0053317E" w:rsidRDefault="0053317E" w:rsidP="0053317E">
      <w:pPr>
        <w:rPr>
          <w:rFonts w:ascii="Arial" w:hAnsi="Arial" w:cs="Arial"/>
        </w:rPr>
      </w:pPr>
      <w:r w:rsidRPr="0053317E">
        <w:rPr>
          <w:rFonts w:ascii="Arial" w:hAnsi="Arial" w:cs="Arial"/>
        </w:rPr>
        <w:t>Composite Segment Margin: -46.7%</w:t>
      </w:r>
    </w:p>
    <w:p w14:paraId="4F2CA522" w14:textId="77777777" w:rsidR="0053317E" w:rsidRPr="0053317E" w:rsidRDefault="0053317E" w:rsidP="0053317E">
      <w:pPr>
        <w:rPr>
          <w:rFonts w:ascii="Arial" w:hAnsi="Arial" w:cs="Arial"/>
        </w:rPr>
      </w:pPr>
      <w:r w:rsidRPr="0053317E">
        <w:rPr>
          <w:rFonts w:ascii="Arial" w:hAnsi="Arial" w:cs="Arial"/>
        </w:rPr>
        <w:t>===================================================</w:t>
      </w:r>
    </w:p>
    <w:p w14:paraId="7EC7E19D" w14:textId="77777777" w:rsidR="0053317E" w:rsidRPr="0053317E" w:rsidRDefault="0053317E" w:rsidP="0053317E">
      <w:pPr>
        <w:rPr>
          <w:rFonts w:ascii="Arial" w:hAnsi="Arial" w:cs="Arial"/>
        </w:rPr>
      </w:pPr>
      <w:r w:rsidRPr="0053317E">
        <w:rPr>
          <w:rFonts w:ascii="Arial" w:hAnsi="Arial" w:cs="Arial"/>
        </w:rPr>
        <w:t xml:space="preserve">This tiny segment accounts for </w:t>
      </w:r>
      <w:r w:rsidRPr="0053317E">
        <w:rPr>
          <w:rFonts w:ascii="Arial" w:hAnsi="Arial" w:cs="Arial"/>
          <w:b/>
          <w:bCs/>
        </w:rPr>
        <w:t>nearly half (48.3%) of all promotional profit destruction</w:t>
      </w:r>
      <w:r w:rsidRPr="0053317E">
        <w:rPr>
          <w:rFonts w:ascii="Arial" w:hAnsi="Arial" w:cs="Arial"/>
        </w:rPr>
        <w:t xml:space="preserve"> across the entire enterprise. Curtailing losses in this exact intersection stabilizes the P&amp;L without disturbing the remaining 92.4% of profitable, healthy customer relationships.</w:t>
      </w:r>
    </w:p>
    <w:p w14:paraId="55274330" w14:textId="59CBE5A8" w:rsidR="0053317E" w:rsidRPr="00E06D7C" w:rsidRDefault="0053317E" w:rsidP="0053317E">
      <w:pPr>
        <w:rPr>
          <w:rFonts w:ascii="Arial" w:hAnsi="Arial" w:cs="Arial"/>
          <w:b/>
          <w:bCs/>
          <w:sz w:val="28"/>
          <w:szCs w:val="28"/>
        </w:rPr>
      </w:pPr>
      <w:r w:rsidRPr="00E06D7C">
        <w:rPr>
          <w:rFonts w:ascii="Arial" w:hAnsi="Arial" w:cs="Arial"/>
          <w:b/>
          <w:bCs/>
          <w:sz w:val="28"/>
          <w:szCs w:val="28"/>
        </w:rPr>
        <w:lastRenderedPageBreak/>
        <w:t>Strategic Recommendations &amp; Action Plan</w:t>
      </w:r>
    </w:p>
    <w:p w14:paraId="5E496BB7" w14:textId="77777777" w:rsidR="0053317E" w:rsidRPr="0053317E" w:rsidRDefault="0053317E" w:rsidP="0053317E">
      <w:pPr>
        <w:rPr>
          <w:rFonts w:ascii="Arial" w:hAnsi="Arial" w:cs="Arial"/>
        </w:rPr>
      </w:pPr>
      <w:r w:rsidRPr="0053317E">
        <w:rPr>
          <w:rFonts w:ascii="Arial" w:hAnsi="Arial" w:cs="Arial"/>
        </w:rPr>
        <w:t>To secure business margins and preserve core revenue streams, the following data-backed mandates are submitted for immediate operational implementation:</w:t>
      </w:r>
    </w:p>
    <w:p w14:paraId="41B63F2C" w14:textId="77777777" w:rsidR="0053317E" w:rsidRPr="0053317E" w:rsidRDefault="0053317E" w:rsidP="0053317E">
      <w:pPr>
        <w:numPr>
          <w:ilvl w:val="0"/>
          <w:numId w:val="4"/>
        </w:numPr>
        <w:rPr>
          <w:rFonts w:ascii="Arial" w:hAnsi="Arial" w:cs="Arial"/>
        </w:rPr>
      </w:pPr>
      <w:r w:rsidRPr="0053317E">
        <w:rPr>
          <w:rFonts w:ascii="Arial" w:hAnsi="Arial" w:cs="Arial"/>
          <w:b/>
          <w:bCs/>
        </w:rPr>
        <w:t>Enforce an Immediate Promotional Discount Cap:</w:t>
      </w:r>
      <w:r w:rsidRPr="0053317E">
        <w:rPr>
          <w:rFonts w:ascii="Arial" w:hAnsi="Arial" w:cs="Arial"/>
        </w:rPr>
        <w:t xml:space="preserve"> Mandate a rigid maximum discount cap of </w:t>
      </w:r>
      <w:r w:rsidRPr="0053317E">
        <w:rPr>
          <w:rFonts w:ascii="Arial" w:hAnsi="Arial" w:cs="Arial"/>
          <w:b/>
          <w:bCs/>
        </w:rPr>
        <w:t>15% to 20%</w:t>
      </w:r>
      <w:r w:rsidRPr="0053317E">
        <w:rPr>
          <w:rFonts w:ascii="Arial" w:hAnsi="Arial" w:cs="Arial"/>
        </w:rPr>
        <w:t xml:space="preserve"> on all Furniture and Office Supplies lines routed through Standard Class channels. Immediate enforcement should prioritize the Central Region.</w:t>
      </w:r>
    </w:p>
    <w:p w14:paraId="07A23FD9" w14:textId="77777777" w:rsidR="0053317E" w:rsidRPr="0053317E" w:rsidRDefault="0053317E" w:rsidP="0053317E">
      <w:pPr>
        <w:numPr>
          <w:ilvl w:val="0"/>
          <w:numId w:val="4"/>
        </w:numPr>
        <w:rPr>
          <w:rFonts w:ascii="Arial" w:hAnsi="Arial" w:cs="Arial"/>
        </w:rPr>
      </w:pPr>
      <w:r w:rsidRPr="0053317E">
        <w:rPr>
          <w:rFonts w:ascii="Arial" w:hAnsi="Arial" w:cs="Arial"/>
          <w:b/>
          <w:bCs/>
        </w:rPr>
        <w:t>Execute a SKU-Level Operational Review:</w:t>
      </w:r>
      <w:r w:rsidRPr="0053317E">
        <w:rPr>
          <w:rFonts w:ascii="Arial" w:hAnsi="Arial" w:cs="Arial"/>
        </w:rPr>
        <w:t xml:space="preserve"> Initiate a strict supply-chain and vendor audit for Tables, Bookcases, and high-dollar hardware lines (such as the </w:t>
      </w:r>
      <w:proofErr w:type="spellStart"/>
      <w:r w:rsidRPr="0053317E">
        <w:rPr>
          <w:rFonts w:ascii="Arial" w:hAnsi="Arial" w:cs="Arial"/>
        </w:rPr>
        <w:t>Cubify</w:t>
      </w:r>
      <w:proofErr w:type="spellEnd"/>
      <w:r w:rsidRPr="0053317E">
        <w:rPr>
          <w:rFonts w:ascii="Arial" w:hAnsi="Arial" w:cs="Arial"/>
        </w:rPr>
        <w:t xml:space="preserve"> 3D printers). If manufacturing costs or distribution overhead cannot be renegotiated by </w:t>
      </w:r>
      <w:r w:rsidRPr="0053317E">
        <w:rPr>
          <w:rFonts w:ascii="Arial" w:hAnsi="Arial" w:cs="Arial"/>
          <w:b/>
          <w:bCs/>
        </w:rPr>
        <w:t>Q3</w:t>
      </w:r>
      <w:r w:rsidRPr="0053317E">
        <w:rPr>
          <w:rFonts w:ascii="Arial" w:hAnsi="Arial" w:cs="Arial"/>
        </w:rPr>
        <w:t>, these product lines must be transitioned to a premium, special-order-only model or systematically phased out.</w:t>
      </w:r>
    </w:p>
    <w:p w14:paraId="76781888" w14:textId="77777777" w:rsidR="0053317E" w:rsidRPr="0053317E" w:rsidRDefault="0053317E" w:rsidP="0053317E">
      <w:pPr>
        <w:numPr>
          <w:ilvl w:val="0"/>
          <w:numId w:val="4"/>
        </w:numPr>
        <w:rPr>
          <w:rFonts w:ascii="Arial" w:hAnsi="Arial" w:cs="Arial"/>
        </w:rPr>
      </w:pPr>
      <w:r w:rsidRPr="0053317E">
        <w:rPr>
          <w:rFonts w:ascii="Arial" w:hAnsi="Arial" w:cs="Arial"/>
          <w:b/>
          <w:bCs/>
        </w:rPr>
        <w:t>Establish a High-Volume Margin Guardrail:</w:t>
      </w:r>
      <w:r w:rsidRPr="0053317E">
        <w:rPr>
          <w:rFonts w:ascii="Arial" w:hAnsi="Arial" w:cs="Arial"/>
        </w:rPr>
        <w:t xml:space="preserve"> Use the volume density of Standard Class shipping to our advantage. Set up real-time transactional guardrails in our ordering software to flag and block any automated order that pairs Standard Class logistics with compounding promotional codes.</w:t>
      </w:r>
    </w:p>
    <w:p w14:paraId="2A63EFA7" w14:textId="77777777" w:rsidR="00E858AF" w:rsidRPr="0053317E" w:rsidRDefault="00E858AF">
      <w:pPr>
        <w:rPr>
          <w:rFonts w:ascii="Arial" w:hAnsi="Arial" w:cs="Arial"/>
        </w:rPr>
      </w:pPr>
    </w:p>
    <w:sectPr w:rsidR="00E858AF" w:rsidRPr="005331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81C48"/>
    <w:multiLevelType w:val="multilevel"/>
    <w:tmpl w:val="49FA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1010FC"/>
    <w:multiLevelType w:val="multilevel"/>
    <w:tmpl w:val="87D20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AE1737"/>
    <w:multiLevelType w:val="multilevel"/>
    <w:tmpl w:val="B2F2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1E35E6"/>
    <w:multiLevelType w:val="multilevel"/>
    <w:tmpl w:val="FE34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488751">
    <w:abstractNumId w:val="0"/>
  </w:num>
  <w:num w:numId="2" w16cid:durableId="2132018738">
    <w:abstractNumId w:val="3"/>
  </w:num>
  <w:num w:numId="3" w16cid:durableId="2057584748">
    <w:abstractNumId w:val="2"/>
  </w:num>
  <w:num w:numId="4" w16cid:durableId="1317301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787"/>
    <w:rsid w:val="002C790C"/>
    <w:rsid w:val="0053317E"/>
    <w:rsid w:val="00582456"/>
    <w:rsid w:val="00A831CA"/>
    <w:rsid w:val="00E06D7C"/>
    <w:rsid w:val="00E858AF"/>
    <w:rsid w:val="00ED77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C5508"/>
  <w15:chartTrackingRefBased/>
  <w15:docId w15:val="{A071E570-A179-4D90-BF72-76E674D7A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7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77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77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77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77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7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7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77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77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77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77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7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787"/>
    <w:rPr>
      <w:rFonts w:eastAsiaTheme="majorEastAsia" w:cstheme="majorBidi"/>
      <w:color w:val="272727" w:themeColor="text1" w:themeTint="D8"/>
    </w:rPr>
  </w:style>
  <w:style w:type="paragraph" w:styleId="Title">
    <w:name w:val="Title"/>
    <w:basedOn w:val="Normal"/>
    <w:next w:val="Normal"/>
    <w:link w:val="TitleChar"/>
    <w:uiPriority w:val="10"/>
    <w:qFormat/>
    <w:rsid w:val="00ED7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787"/>
    <w:pPr>
      <w:spacing w:before="160"/>
      <w:jc w:val="center"/>
    </w:pPr>
    <w:rPr>
      <w:i/>
      <w:iCs/>
      <w:color w:val="404040" w:themeColor="text1" w:themeTint="BF"/>
    </w:rPr>
  </w:style>
  <w:style w:type="character" w:customStyle="1" w:styleId="QuoteChar">
    <w:name w:val="Quote Char"/>
    <w:basedOn w:val="DefaultParagraphFont"/>
    <w:link w:val="Quote"/>
    <w:uiPriority w:val="29"/>
    <w:rsid w:val="00ED7787"/>
    <w:rPr>
      <w:i/>
      <w:iCs/>
      <w:color w:val="404040" w:themeColor="text1" w:themeTint="BF"/>
    </w:rPr>
  </w:style>
  <w:style w:type="paragraph" w:styleId="ListParagraph">
    <w:name w:val="List Paragraph"/>
    <w:basedOn w:val="Normal"/>
    <w:uiPriority w:val="34"/>
    <w:qFormat/>
    <w:rsid w:val="00ED7787"/>
    <w:pPr>
      <w:ind w:left="720"/>
      <w:contextualSpacing/>
    </w:pPr>
  </w:style>
  <w:style w:type="character" w:styleId="IntenseEmphasis">
    <w:name w:val="Intense Emphasis"/>
    <w:basedOn w:val="DefaultParagraphFont"/>
    <w:uiPriority w:val="21"/>
    <w:qFormat/>
    <w:rsid w:val="00ED7787"/>
    <w:rPr>
      <w:i/>
      <w:iCs/>
      <w:color w:val="2F5496" w:themeColor="accent1" w:themeShade="BF"/>
    </w:rPr>
  </w:style>
  <w:style w:type="paragraph" w:styleId="IntenseQuote">
    <w:name w:val="Intense Quote"/>
    <w:basedOn w:val="Normal"/>
    <w:next w:val="Normal"/>
    <w:link w:val="IntenseQuoteChar"/>
    <w:uiPriority w:val="30"/>
    <w:qFormat/>
    <w:rsid w:val="00ED77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7787"/>
    <w:rPr>
      <w:i/>
      <w:iCs/>
      <w:color w:val="2F5496" w:themeColor="accent1" w:themeShade="BF"/>
    </w:rPr>
  </w:style>
  <w:style w:type="character" w:styleId="IntenseReference">
    <w:name w:val="Intense Reference"/>
    <w:basedOn w:val="DefaultParagraphFont"/>
    <w:uiPriority w:val="32"/>
    <w:qFormat/>
    <w:rsid w:val="00ED7787"/>
    <w:rPr>
      <w:b/>
      <w:bCs/>
      <w:smallCaps/>
      <w:color w:val="2F5496" w:themeColor="accent1" w:themeShade="BF"/>
      <w:spacing w:val="5"/>
    </w:rPr>
  </w:style>
  <w:style w:type="character" w:styleId="Hyperlink">
    <w:name w:val="Hyperlink"/>
    <w:basedOn w:val="DefaultParagraphFont"/>
    <w:uiPriority w:val="99"/>
    <w:unhideWhenUsed/>
    <w:rsid w:val="0053317E"/>
    <w:rPr>
      <w:color w:val="0563C1" w:themeColor="hyperlink"/>
      <w:u w:val="single"/>
    </w:rPr>
  </w:style>
  <w:style w:type="character" w:styleId="UnresolvedMention">
    <w:name w:val="Unresolved Mention"/>
    <w:basedOn w:val="DefaultParagraphFont"/>
    <w:uiPriority w:val="99"/>
    <w:semiHidden/>
    <w:unhideWhenUsed/>
    <w:rsid w:val="005331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801</Words>
  <Characters>4572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MSK</dc:creator>
  <cp:keywords/>
  <dc:description/>
  <cp:lastModifiedBy>Pranav MSK</cp:lastModifiedBy>
  <cp:revision>3</cp:revision>
  <dcterms:created xsi:type="dcterms:W3CDTF">2026-06-12T07:44:00Z</dcterms:created>
  <dcterms:modified xsi:type="dcterms:W3CDTF">2026-06-12T07:57:00Z</dcterms:modified>
</cp:coreProperties>
</file>