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D655" w14:textId="77777777" w:rsidR="00647550" w:rsidRDefault="00000000">
      <w:pPr>
        <w:pStyle w:val="Heading1"/>
      </w:pPr>
      <w:bookmarkStart w:id="0" w:name="system-design-document"/>
      <w:r>
        <w:t>SYSTEM DESIGN DOCUMENT</w:t>
      </w:r>
    </w:p>
    <w:p w14:paraId="36B967C0" w14:textId="77777777" w:rsidR="00647550" w:rsidRDefault="00000000">
      <w:pPr>
        <w:pStyle w:val="FirstParagraph"/>
      </w:pPr>
      <w:r>
        <w:rPr>
          <w:b/>
          <w:bCs/>
          <w:sz w:val="22"/>
        </w:rPr>
        <w:t>REVA Internship Opportunities (RIO)</w:t>
      </w:r>
      <w:r>
        <w:rPr>
          <w:sz w:val="22"/>
        </w:rPr>
        <w:t xml:space="preserve"> | School of Computer Science and Engineering, REVA University, Bengaluru</w:t>
      </w:r>
    </w:p>
    <w:tbl>
      <w:tblPr>
        <w:tblStyle w:val="Table"/>
        <w:tblW w:w="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66"/>
        <w:gridCol w:w="6630"/>
      </w:tblGrid>
      <w:tr w:rsidR="00647550" w14:paraId="6B5B36B2" w14:textId="77777777">
        <w:tc>
          <w:tcPr>
            <w:tcW w:w="0" w:type="auto"/>
          </w:tcPr>
          <w:p w14:paraId="01CE07AC" w14:textId="77777777" w:rsidR="00647550" w:rsidRDefault="00000000">
            <w:pPr>
              <w:pStyle w:val="Compact"/>
            </w:pPr>
            <w:r>
              <w:t>Particulars</w:t>
            </w:r>
          </w:p>
        </w:tc>
        <w:tc>
          <w:tcPr>
            <w:tcW w:w="0" w:type="auto"/>
          </w:tcPr>
          <w:p w14:paraId="5808F992" w14:textId="77777777" w:rsidR="00647550" w:rsidRDefault="00000000">
            <w:pPr>
              <w:pStyle w:val="Compact"/>
            </w:pPr>
            <w:r>
              <w:t>Details</w:t>
            </w:r>
          </w:p>
        </w:tc>
      </w:tr>
      <w:tr w:rsidR="00647550" w14:paraId="196171E2" w14:textId="77777777">
        <w:tc>
          <w:tcPr>
            <w:tcW w:w="0" w:type="auto"/>
          </w:tcPr>
          <w:p w14:paraId="254E47A5" w14:textId="77777777" w:rsidR="00647550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471F5DE2" w14:textId="77777777" w:rsidR="00647550" w:rsidRDefault="00000000">
            <w:pPr>
              <w:pStyle w:val="Compact"/>
            </w:pPr>
            <w:r>
              <w:t>Task 3 (SL 3), Project Track: System Design of the Module</w:t>
            </w:r>
          </w:p>
        </w:tc>
      </w:tr>
      <w:tr w:rsidR="00647550" w14:paraId="7D890F8C" w14:textId="77777777">
        <w:tc>
          <w:tcPr>
            <w:tcW w:w="0" w:type="auto"/>
          </w:tcPr>
          <w:p w14:paraId="4A5AA938" w14:textId="77777777" w:rsidR="00647550" w:rsidRDefault="00000000">
            <w:pPr>
              <w:pStyle w:val="Compact"/>
            </w:pPr>
            <w:r>
              <w:t>Name of Student</w:t>
            </w:r>
          </w:p>
        </w:tc>
        <w:tc>
          <w:tcPr>
            <w:tcW w:w="0" w:type="auto"/>
          </w:tcPr>
          <w:p w14:paraId="131A9314" w14:textId="0839B3F4" w:rsidR="00647550" w:rsidRDefault="00681569">
            <w:pPr>
              <w:pStyle w:val="Compact"/>
            </w:pPr>
            <w:r>
              <w:t xml:space="preserve">Pavani V Reddy </w:t>
            </w:r>
          </w:p>
        </w:tc>
      </w:tr>
      <w:tr w:rsidR="00647550" w14:paraId="450690BC" w14:textId="77777777">
        <w:tc>
          <w:tcPr>
            <w:tcW w:w="0" w:type="auto"/>
          </w:tcPr>
          <w:p w14:paraId="0E267149" w14:textId="77777777" w:rsidR="00647550" w:rsidRDefault="00000000">
            <w:pPr>
              <w:pStyle w:val="Compact"/>
            </w:pPr>
            <w:r>
              <w:t>University Seat Number (USN)</w:t>
            </w:r>
          </w:p>
        </w:tc>
        <w:tc>
          <w:tcPr>
            <w:tcW w:w="0" w:type="auto"/>
          </w:tcPr>
          <w:p w14:paraId="73D4C7EC" w14:textId="038053F2" w:rsidR="00647550" w:rsidRDefault="00000000">
            <w:pPr>
              <w:pStyle w:val="Compact"/>
            </w:pPr>
            <w:r>
              <w:t>R23E</w:t>
            </w:r>
            <w:r w:rsidR="00681569">
              <w:t>F176</w:t>
            </w:r>
          </w:p>
        </w:tc>
      </w:tr>
      <w:tr w:rsidR="00647550" w14:paraId="37D0D6CB" w14:textId="77777777">
        <w:tc>
          <w:tcPr>
            <w:tcW w:w="0" w:type="auto"/>
          </w:tcPr>
          <w:p w14:paraId="27EB5AA2" w14:textId="77777777" w:rsidR="00647550" w:rsidRDefault="00000000">
            <w:pPr>
              <w:pStyle w:val="Compact"/>
            </w:pPr>
            <w:r>
              <w:t>Project Title</w:t>
            </w:r>
          </w:p>
        </w:tc>
        <w:tc>
          <w:tcPr>
            <w:tcW w:w="0" w:type="auto"/>
          </w:tcPr>
          <w:p w14:paraId="0B00C6A1" w14:textId="77777777" w:rsidR="00647550" w:rsidRDefault="00000000">
            <w:pPr>
              <w:pStyle w:val="Compact"/>
            </w:pPr>
            <w:r>
              <w:t>ForgeGuard: An AI-Based Document Forgery Detection and Verification System</w:t>
            </w:r>
          </w:p>
        </w:tc>
      </w:tr>
      <w:tr w:rsidR="00647550" w14:paraId="0C3E15CC" w14:textId="77777777">
        <w:tc>
          <w:tcPr>
            <w:tcW w:w="0" w:type="auto"/>
          </w:tcPr>
          <w:p w14:paraId="61CD0E73" w14:textId="77777777" w:rsidR="00647550" w:rsidRDefault="00000000">
            <w:pPr>
              <w:pStyle w:val="Compact"/>
            </w:pPr>
            <w:r>
              <w:t>Track</w:t>
            </w:r>
          </w:p>
        </w:tc>
        <w:tc>
          <w:tcPr>
            <w:tcW w:w="0" w:type="auto"/>
          </w:tcPr>
          <w:p w14:paraId="12B0306A" w14:textId="77777777" w:rsidR="00647550" w:rsidRDefault="00000000">
            <w:pPr>
              <w:pStyle w:val="Compact"/>
            </w:pPr>
            <w:r>
              <w:t>PS 109</w:t>
            </w:r>
          </w:p>
        </w:tc>
      </w:tr>
      <w:tr w:rsidR="00647550" w14:paraId="7EAA544D" w14:textId="77777777">
        <w:tc>
          <w:tcPr>
            <w:tcW w:w="0" w:type="auto"/>
          </w:tcPr>
          <w:p w14:paraId="44D6EAEE" w14:textId="77777777" w:rsidR="00647550" w:rsidRDefault="00000000">
            <w:pPr>
              <w:pStyle w:val="Compact"/>
            </w:pPr>
            <w:r>
              <w:t>Faculty Guide</w:t>
            </w:r>
          </w:p>
        </w:tc>
        <w:tc>
          <w:tcPr>
            <w:tcW w:w="0" w:type="auto"/>
          </w:tcPr>
          <w:p w14:paraId="03FF92AB" w14:textId="77777777" w:rsidR="00647550" w:rsidRDefault="00000000">
            <w:pPr>
              <w:pStyle w:val="Compact"/>
            </w:pPr>
            <w:r>
              <w:t>Mala B M</w:t>
            </w:r>
          </w:p>
        </w:tc>
      </w:tr>
      <w:tr w:rsidR="00647550" w14:paraId="20C4BE73" w14:textId="77777777">
        <w:tc>
          <w:tcPr>
            <w:tcW w:w="0" w:type="auto"/>
          </w:tcPr>
          <w:p w14:paraId="6771184A" w14:textId="77777777" w:rsidR="00647550" w:rsidRDefault="00000000">
            <w:pPr>
              <w:pStyle w:val="Compact"/>
            </w:pPr>
            <w:r>
              <w:t>Date of Submission</w:t>
            </w:r>
          </w:p>
        </w:tc>
        <w:tc>
          <w:tcPr>
            <w:tcW w:w="0" w:type="auto"/>
          </w:tcPr>
          <w:p w14:paraId="78BDB48F" w14:textId="77777777" w:rsidR="00647550" w:rsidRDefault="00000000">
            <w:pPr>
              <w:pStyle w:val="Compact"/>
            </w:pPr>
            <w:r>
              <w:t>20 October 2026</w:t>
            </w:r>
          </w:p>
        </w:tc>
      </w:tr>
    </w:tbl>
    <w:p w14:paraId="36CAF5DA" w14:textId="77777777" w:rsidR="00647550" w:rsidRDefault="00000000">
      <w:pPr>
        <w:pStyle w:val="Heading2"/>
      </w:pPr>
      <w:bookmarkStart w:id="1" w:name="introduction"/>
      <w:r>
        <w:rPr>
          <w:sz w:val="26"/>
        </w:rPr>
        <w:t>1. Introduction</w:t>
      </w:r>
    </w:p>
    <w:p w14:paraId="23468F41" w14:textId="77777777" w:rsidR="00647550" w:rsidRDefault="00000000">
      <w:pPr>
        <w:pStyle w:val="FirstParagraph"/>
      </w:pPr>
      <w:r>
        <w:rPr>
          <w:b/>
          <w:bCs/>
          <w:sz w:val="22"/>
        </w:rPr>
        <w:t>1.1 Purpose.</w:t>
      </w:r>
      <w:r>
        <w:rPr>
          <w:sz w:val="22"/>
        </w:rPr>
        <w:t xml:space="preserve"> This document designs ForgeGuard from the requirements fixed in the Literature Survey and Requirement Analysis Report. Every component below exists to satisfy one or more functional requirements (FR-U, FR-S, FR-D, FR-A, FR-P) or non-functional requirements (NFR-1 to NFR-10) from that report, and the identifiers are carried over unchanged so the two documents trace against each other.</w:t>
      </w:r>
    </w:p>
    <w:p w14:paraId="64F26908" w14:textId="77777777" w:rsidR="00647550" w:rsidRDefault="00000000">
      <w:pPr>
        <w:pStyle w:val="BodyText"/>
      </w:pPr>
      <w:r>
        <w:rPr>
          <w:b/>
          <w:bCs/>
          <w:sz w:val="22"/>
        </w:rPr>
        <w:t>1.2 Objectives implemented.</w:t>
      </w:r>
      <w:r>
        <w:rPr>
          <w:sz w:val="22"/>
        </w:rPr>
        <w:t xml:space="preserve"> This design implements objectives O1–O9 from the Project Objectives document, each derived from one literature gap: O1/O2 signature verification on real pages (Section 3.1); O3/O4 document-trained, SRM+RGB tamper localisation (Section 3.2, the assigned module); O5 multi-evidence fusion (Section 3.4); O6 explainable output (Section 3.4); O7 proper held-out evaluation (Section 7); O8 replaceable detector interface (Section 2.1, Section 7); O9 the append-only audit log (Section 3.5, Section 4).</w:t>
      </w:r>
    </w:p>
    <w:p w14:paraId="42B44F7E" w14:textId="77777777" w:rsidR="00647550" w:rsidRDefault="00000000">
      <w:pPr>
        <w:pStyle w:val="BodyText"/>
      </w:pPr>
      <w:r>
        <w:rPr>
          <w:b/>
          <w:bCs/>
          <w:sz w:val="22"/>
        </w:rPr>
        <w:t>1.3 Design goals.</w:t>
      </w:r>
      <w:r>
        <w:rPr>
          <w:sz w:val="22"/>
        </w:rPr>
        <w:t xml:space="preserve"> Three decisions shape the whole design, each a direct response to a literature gap: (a) no single end-to-end classifier — signature, tamper and OCR evidence are produced by independent services and combined only at a fusion stage (Gap 5 / O5, FR-D5); (b) every detector sits behind one fixed interface (image/crop in, score and evidence out) so a model can be swapped without touching the orchestrator or the other detectors (Gap 8 / O8, NFR-7); (c) every stored verification is explainable and auditable, not just a label (Gap 6 and Gap 9 / O6 and O9, FR-D6, FR-A3, NFR-8).</w:t>
      </w:r>
    </w:p>
    <w:p w14:paraId="1A5A6AB8" w14:textId="77777777" w:rsidR="00647550" w:rsidRDefault="00000000">
      <w:pPr>
        <w:pStyle w:val="Heading2"/>
      </w:pPr>
      <w:bookmarkStart w:id="2" w:name="architecture-overview"/>
      <w:bookmarkEnd w:id="1"/>
      <w:r>
        <w:rPr>
          <w:sz w:val="26"/>
        </w:rPr>
        <w:t>2. Architecture Overview</w:t>
      </w:r>
    </w:p>
    <w:p w14:paraId="19BCD56F" w14:textId="77777777" w:rsidR="00647550" w:rsidRDefault="00000000">
      <w:pPr>
        <w:pStyle w:val="FirstParagraph"/>
      </w:pPr>
      <w:r>
        <w:rPr>
          <w:sz w:val="22"/>
        </w:rPr>
        <w:t>ForgeGuard is a single backend service exposed through one REST API (FR-P1), fronted by a web client, with four detector workers and a fusion stage orchestrated per request. The assigned module, Document Tamper Detection and Localisation, is one of the four workers.</w:t>
      </w:r>
    </w:p>
    <w:p w14:paraId="7C54CCD3" w14:textId="77777777" w:rsidR="00647550" w:rsidRDefault="00000000">
      <w:pPr>
        <w:pStyle w:val="BodyText"/>
        <w:jc w:val="center"/>
      </w:pPr>
      <w:r>
        <w:rPr>
          <w:noProof/>
          <w:sz w:val="22"/>
        </w:rPr>
        <w:lastRenderedPageBreak/>
        <w:drawing>
          <wp:inline distT="0" distB="0" distL="0" distR="0" wp14:anchorId="29856463" wp14:editId="7D68F1D1">
            <wp:extent cx="5760720" cy="504063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_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2C21F" w14:textId="77777777" w:rsidR="00647550" w:rsidRDefault="00000000">
      <w:pPr>
        <w:pStyle w:val="BodyText"/>
      </w:pPr>
      <w:r>
        <w:rPr>
          <w:b/>
          <w:bCs/>
          <w:sz w:val="22"/>
        </w:rPr>
        <w:t>2.1 Why this shape.</w:t>
      </w:r>
      <w:r>
        <w:rPr>
          <w:sz w:val="22"/>
        </w:rPr>
        <w:t xml:space="preserve"> The orchestrator calls the four workers in the fixed order shown (signature and tamper run independently, OCR can run in parallel with either, fusion runs last), because FR-D5 requires all three evidence streams before a score is produced. Each worker is a separate process behind the same request/response contract, so NFR-7 is met by construction: replacing the tamper localiser with a newer model only changes that one box.</w:t>
      </w:r>
    </w:p>
    <w:p w14:paraId="081E08B1" w14:textId="77777777" w:rsidR="00647550" w:rsidRDefault="00000000">
      <w:pPr>
        <w:pStyle w:val="Heading2"/>
      </w:pPr>
      <w:bookmarkStart w:id="3" w:name="module-design"/>
      <w:bookmarkEnd w:id="2"/>
      <w:r>
        <w:rPr>
          <w:sz w:val="26"/>
        </w:rPr>
        <w:t>3. Module Design</w:t>
      </w:r>
    </w:p>
    <w:p w14:paraId="03401139" w14:textId="77777777" w:rsidR="00647550" w:rsidRDefault="00000000">
      <w:pPr>
        <w:pStyle w:val="Heading3"/>
        <w:spacing w:before="160"/>
      </w:pPr>
      <w:bookmarkStart w:id="4" w:name="X935cfcc37d0606063d70b58d9d3d406d2a8a7cc"/>
      <w:r>
        <w:rPr>
          <w:sz w:val="23"/>
        </w:rPr>
        <w:t>3.1 Signature Verification Service (FR-S1, FR-S2, FR-S3, NFR-6)</w:t>
      </w:r>
    </w:p>
    <w:p w14:paraId="4BE15D8C" w14:textId="77777777" w:rsidR="00647550" w:rsidRDefault="00000000">
      <w:pPr>
        <w:pStyle w:val="FirstParagraph"/>
      </w:pPr>
      <w:r>
        <w:rPr>
          <w:sz w:val="22"/>
        </w:rPr>
        <w:t>Input: the full page image and the claimed signer's ID. Steps: (1) detect the signature region (object detector, following paper [13]); (2) clean the crop — remove ruled lines, stamps and background (FR-S2); (3) embed the crop and the signer's one-to-five stored references with a writer-independent Siamese/metric-learning encoder (papers [3], [6], [12]) and threshold the distance. Output: a similarity score in [0, 1], a genuine/forged decision, and the cropped region's coordinates. No retraining is needed to add a new signer (NFR-6) — only new reference embeddings are stored.</w:t>
      </w:r>
    </w:p>
    <w:p w14:paraId="1FCE934A" w14:textId="77777777" w:rsidR="00647550" w:rsidRDefault="00000000">
      <w:pPr>
        <w:pStyle w:val="Heading3"/>
        <w:spacing w:before="160"/>
      </w:pPr>
      <w:bookmarkStart w:id="5" w:name="X1cc8acc1c91e96166827adf417328d86d6288f8"/>
      <w:bookmarkEnd w:id="4"/>
      <w:r>
        <w:rPr>
          <w:sz w:val="23"/>
        </w:rPr>
        <w:lastRenderedPageBreak/>
        <w:t>3.2 Document Tamper Detection and Localisation (assigned module — FR-D1, FR-D2, FR-D6, NFR-2, NFR-10)</w:t>
      </w:r>
    </w:p>
    <w:p w14:paraId="52F536AD" w14:textId="77777777" w:rsidR="00647550" w:rsidRDefault="00000000">
      <w:pPr>
        <w:pStyle w:val="FirstParagraph"/>
      </w:pPr>
      <w:r>
        <w:rPr>
          <w:sz w:val="22"/>
        </w:rPr>
        <w:t>Input: the deskewed, resized, normalised page (FR-D1). Two streams run in parallel and are fused in an encoder-decoder, following SRM-Net (paper [49]): a fixed Spatial Rich Model (SRM) stream that captures noise-residual artefacts invisible to the eye, and a semantic RGB stream (ResNet/U-Net style) that reads layout and content. ELA is computed as one supporting channel only, not the sole signal (Gap 4). Output: a pixel-level tamper mask and heatmap, the largest suspicious regions with coordinates (FR-D6), and a 0–100 tamper sub-score passed to fusion. Trained with augmentation for rotation, scaling, noise, blur, recompression and print-scan (NFR-10); sized to run on one consumer GPU or CPU within the per-page time budget (NFR-2).</w:t>
      </w:r>
    </w:p>
    <w:p w14:paraId="243F7EEA" w14:textId="77777777" w:rsidR="00647550" w:rsidRDefault="00000000">
      <w:pPr>
        <w:pStyle w:val="Heading3"/>
        <w:spacing w:before="160"/>
      </w:pPr>
      <w:bookmarkStart w:id="6" w:name="ocr-field-validation-service-fr-d3-fr-d4"/>
      <w:bookmarkEnd w:id="5"/>
      <w:r>
        <w:rPr>
          <w:sz w:val="23"/>
        </w:rPr>
        <w:t>3.3 OCR / Field Validation Service (FR-D3, FR-D4)</w:t>
      </w:r>
    </w:p>
    <w:p w14:paraId="32F49859" w14:textId="77777777" w:rsidR="00647550" w:rsidRDefault="00000000">
      <w:pPr>
        <w:pStyle w:val="FirstParagraph"/>
      </w:pPr>
      <w:r>
        <w:rPr>
          <w:sz w:val="22"/>
        </w:rPr>
        <w:t>Input: the page image and the declared document type. Steps: (1) OCR extraction (consensus across engines for financial documents, following FORENSIQ, paper [39]); (2) regex/format checks on names, dates and ID numbers (FR-D3); (3) for financial documents, an arithmetic gate checking total = net + tax (FR-D4, paper [39]). Output: per-field pass/fail flags and an OCR sub-score.</w:t>
      </w:r>
    </w:p>
    <w:p w14:paraId="6C8550CB" w14:textId="77777777" w:rsidR="00647550" w:rsidRDefault="00000000">
      <w:pPr>
        <w:pStyle w:val="Heading3"/>
        <w:spacing w:before="160"/>
      </w:pPr>
      <w:bookmarkStart w:id="7" w:name="fusion-scoring-service-fr-d5-fr-d6"/>
      <w:bookmarkEnd w:id="6"/>
      <w:r>
        <w:rPr>
          <w:sz w:val="23"/>
        </w:rPr>
        <w:t>3.4 Fusion &amp; Scoring Service (FR-D5, FR-D6)</w:t>
      </w:r>
    </w:p>
    <w:p w14:paraId="51795A01" w14:textId="77777777" w:rsidR="00647550" w:rsidRDefault="00000000">
      <w:pPr>
        <w:pStyle w:val="FirstParagraph"/>
      </w:pPr>
      <w:r>
        <w:rPr>
          <w:sz w:val="22"/>
        </w:rPr>
        <w:t>Input: the three sub-scores (signature similarity, tamper score, OCR/field score) and their supporting evidence. A weighted rule (not a black-box classifier, Gap 5) combines them into one authenticity score 0–100 and a label: Genuine (≥ 80), Suspicious (40–79) or Forged (&lt; 40) — thresholds configurable without a redeploy. Output: the final score, label, the tamper heatmap, per-check sub-scores and a templated plain-language reason (FR-D6, NFR-4), e.g. "Flagged Suspicious: signature similarity 0.41 (below 0.6 threshold); tamper region detected near the date field."</w:t>
      </w:r>
    </w:p>
    <w:p w14:paraId="377EC589" w14:textId="77777777" w:rsidR="00647550" w:rsidRDefault="00000000">
      <w:pPr>
        <w:pStyle w:val="Heading3"/>
        <w:spacing w:before="160"/>
      </w:pPr>
      <w:bookmarkStart w:id="8" w:name="X9e04cb985b3d031a757da118204239939e58aa0"/>
      <w:bookmarkEnd w:id="7"/>
      <w:r>
        <w:rPr>
          <w:sz w:val="23"/>
        </w:rPr>
        <w:t>3.5 Admin &amp; Audit (FR-A1, FR-A2, FR-A3, NFR-8, NFR-9)</w:t>
      </w:r>
    </w:p>
    <w:p w14:paraId="156CE533" w14:textId="77777777" w:rsidR="00647550" w:rsidRDefault="00000000">
      <w:pPr>
        <w:pStyle w:val="FirstParagraph"/>
      </w:pPr>
      <w:r>
        <w:rPr>
          <w:sz w:val="22"/>
        </w:rPr>
        <w:t xml:space="preserve">Separate role (NFR-9) that can review documents labelled Suspicious, record a final human decision (stored as labelled feedback for retraining, FR-A2), and view analytics over the append-only audit log (FR-A3). Every verification request and every admin decision is written once to </w:t>
      </w:r>
      <w:r>
        <w:rPr>
          <w:rStyle w:val="VerbatimChar"/>
        </w:rPr>
        <w:t>audit_log</w:t>
      </w:r>
      <w:r>
        <w:rPr>
          <w:sz w:val="22"/>
        </w:rPr>
        <w:t xml:space="preserve"> and never updated in place (NFR-8).</w:t>
      </w:r>
    </w:p>
    <w:p w14:paraId="0DA1937F" w14:textId="77777777" w:rsidR="00647550" w:rsidRDefault="00000000">
      <w:pPr>
        <w:pStyle w:val="Heading2"/>
      </w:pPr>
      <w:bookmarkStart w:id="9" w:name="data-design"/>
      <w:bookmarkEnd w:id="3"/>
      <w:bookmarkEnd w:id="8"/>
      <w:r>
        <w:rPr>
          <w:sz w:val="26"/>
        </w:rPr>
        <w:t>4. Data Design</w:t>
      </w:r>
    </w:p>
    <w:p w14:paraId="0AA42AEF" w14:textId="77777777" w:rsidR="00647550" w:rsidRDefault="00000000">
      <w:pPr>
        <w:pStyle w:val="FirstParagraph"/>
      </w:pPr>
      <w:r>
        <w:rPr>
          <w:sz w:val="22"/>
        </w:rPr>
        <w:t>Relational store (Postgres) for structured records; object storage for files, referenced by key. Simplified schema:</w:t>
      </w:r>
    </w:p>
    <w:tbl>
      <w:tblPr>
        <w:tblStyle w:val="Table"/>
        <w:tblW w:w="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11"/>
        <w:gridCol w:w="8365"/>
      </w:tblGrid>
      <w:tr w:rsidR="00647550" w14:paraId="17EA572D" w14:textId="77777777">
        <w:tc>
          <w:tcPr>
            <w:tcW w:w="0" w:type="auto"/>
          </w:tcPr>
          <w:p w14:paraId="570FC45A" w14:textId="77777777" w:rsidR="00647550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12EC8D03" w14:textId="77777777" w:rsidR="00647550" w:rsidRDefault="00000000">
            <w:pPr>
              <w:pStyle w:val="Compact"/>
            </w:pPr>
            <w:r>
              <w:t>id, email, password_hash, role (verifier | admin), created_at</w:t>
            </w:r>
          </w:p>
        </w:tc>
      </w:tr>
      <w:tr w:rsidR="00647550" w14:paraId="078A4ABA" w14:textId="77777777">
        <w:tc>
          <w:tcPr>
            <w:tcW w:w="0" w:type="auto"/>
          </w:tcPr>
          <w:p w14:paraId="141F1DD6" w14:textId="77777777" w:rsidR="00647550" w:rsidRDefault="00000000">
            <w:pPr>
              <w:pStyle w:val="Compact"/>
            </w:pPr>
            <w:r>
              <w:t>signatures</w:t>
            </w:r>
          </w:p>
        </w:tc>
        <w:tc>
          <w:tcPr>
            <w:tcW w:w="0" w:type="auto"/>
          </w:tcPr>
          <w:p w14:paraId="08C84EF9" w14:textId="77777777" w:rsidR="00647550" w:rsidRDefault="00000000">
            <w:pPr>
              <w:pStyle w:val="Compact"/>
            </w:pPr>
            <w:r>
              <w:t>id, user_id (signer), image_key, embedding, created_at — 1 to 5 rows per signer (FR-U4)</w:t>
            </w:r>
          </w:p>
        </w:tc>
      </w:tr>
      <w:tr w:rsidR="00647550" w14:paraId="489D1C1B" w14:textId="77777777">
        <w:tc>
          <w:tcPr>
            <w:tcW w:w="0" w:type="auto"/>
          </w:tcPr>
          <w:p w14:paraId="5F6171BF" w14:textId="77777777" w:rsidR="00647550" w:rsidRDefault="00000000">
            <w:pPr>
              <w:pStyle w:val="Compact"/>
            </w:pPr>
            <w:r>
              <w:t>documents</w:t>
            </w:r>
          </w:p>
        </w:tc>
        <w:tc>
          <w:tcPr>
            <w:tcW w:w="0" w:type="auto"/>
          </w:tcPr>
          <w:p w14:paraId="3855A4B9" w14:textId="77777777" w:rsidR="00647550" w:rsidRDefault="00000000">
            <w:pPr>
              <w:pStyle w:val="Compact"/>
            </w:pPr>
            <w:r>
              <w:t>id, uploaded_by, doc_type, file_key, sha256_hash (FR-P2), uploaded_at</w:t>
            </w:r>
          </w:p>
        </w:tc>
      </w:tr>
      <w:tr w:rsidR="00647550" w14:paraId="651EA13B" w14:textId="77777777">
        <w:tc>
          <w:tcPr>
            <w:tcW w:w="0" w:type="auto"/>
          </w:tcPr>
          <w:p w14:paraId="4E4C1BEA" w14:textId="77777777" w:rsidR="00647550" w:rsidRDefault="00000000">
            <w:pPr>
              <w:pStyle w:val="Compact"/>
            </w:pPr>
            <w:r>
              <w:t>verifications</w:t>
            </w:r>
          </w:p>
        </w:tc>
        <w:tc>
          <w:tcPr>
            <w:tcW w:w="0" w:type="auto"/>
          </w:tcPr>
          <w:p w14:paraId="58D7AD42" w14:textId="77777777" w:rsidR="00647550" w:rsidRDefault="00000000">
            <w:pPr>
              <w:pStyle w:val="Compact"/>
            </w:pPr>
            <w:r>
              <w:t>id, document_id, signature_sub_score, tamper_sub_score, ocr_sub_score, final_score, label, heatmap_key, reason_text, created_at</w:t>
            </w:r>
          </w:p>
        </w:tc>
      </w:tr>
      <w:tr w:rsidR="00647550" w14:paraId="1A4C01DF" w14:textId="77777777">
        <w:tc>
          <w:tcPr>
            <w:tcW w:w="0" w:type="auto"/>
          </w:tcPr>
          <w:p w14:paraId="631C2F9F" w14:textId="77777777" w:rsidR="00647550" w:rsidRDefault="00000000">
            <w:pPr>
              <w:pStyle w:val="Compact"/>
            </w:pPr>
            <w:r>
              <w:t>audit_log</w:t>
            </w:r>
          </w:p>
        </w:tc>
        <w:tc>
          <w:tcPr>
            <w:tcW w:w="0" w:type="auto"/>
          </w:tcPr>
          <w:p w14:paraId="4B5BC2C6" w14:textId="77777777" w:rsidR="00647550" w:rsidRDefault="00000000">
            <w:pPr>
              <w:pStyle w:val="Compact"/>
            </w:pPr>
            <w:r>
              <w:t>id, actor_id, action, verification_id, detail_json, created_at — append-only (NFR-8)</w:t>
            </w:r>
          </w:p>
        </w:tc>
      </w:tr>
      <w:tr w:rsidR="00647550" w14:paraId="2132E834" w14:textId="77777777">
        <w:tc>
          <w:tcPr>
            <w:tcW w:w="0" w:type="auto"/>
          </w:tcPr>
          <w:p w14:paraId="70F0769D" w14:textId="77777777" w:rsidR="00647550" w:rsidRDefault="00000000">
            <w:pPr>
              <w:pStyle w:val="Compact"/>
            </w:pPr>
            <w:r>
              <w:t>feedback</w:t>
            </w:r>
          </w:p>
        </w:tc>
        <w:tc>
          <w:tcPr>
            <w:tcW w:w="0" w:type="auto"/>
          </w:tcPr>
          <w:p w14:paraId="5403647D" w14:textId="77777777" w:rsidR="00647550" w:rsidRDefault="00000000">
            <w:pPr>
              <w:pStyle w:val="Compact"/>
            </w:pPr>
            <w:r>
              <w:t>id, verification_id, admin_id, final_decision, created_at — used for retraining (FR-A2)</w:t>
            </w:r>
          </w:p>
        </w:tc>
      </w:tr>
    </w:tbl>
    <w:p w14:paraId="3902CFBC" w14:textId="77777777" w:rsidR="00647550" w:rsidRDefault="00000000">
      <w:pPr>
        <w:pStyle w:val="Heading2"/>
      </w:pPr>
      <w:bookmarkStart w:id="10" w:name="api-design-fr-p1"/>
      <w:bookmarkEnd w:id="9"/>
      <w:r>
        <w:rPr>
          <w:sz w:val="26"/>
        </w:rPr>
        <w:lastRenderedPageBreak/>
        <w:t>5. API Design (FR-P1)</w:t>
      </w:r>
    </w:p>
    <w:p w14:paraId="3BE825A8" w14:textId="77777777" w:rsidR="00647550" w:rsidRDefault="00000000">
      <w:pPr>
        <w:pStyle w:val="FirstParagraph"/>
      </w:pPr>
      <w:r>
        <w:rPr>
          <w:sz w:val="22"/>
        </w:rPr>
        <w:t>One REST API serves the web client today and any future client tomorrow:</w:t>
      </w:r>
    </w:p>
    <w:p w14:paraId="53F96703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POST /auth/register</w:t>
      </w:r>
      <w:r>
        <w:rPr>
          <w:sz w:val="22"/>
        </w:rPr>
        <w:t xml:space="preserve">, </w:t>
      </w:r>
      <w:r>
        <w:rPr>
          <w:rStyle w:val="VerbatimChar"/>
        </w:rPr>
        <w:t>POST /auth/login</w:t>
      </w:r>
      <w:r>
        <w:rPr>
          <w:sz w:val="22"/>
        </w:rPr>
        <w:t xml:space="preserve"> — FR-U1</w:t>
      </w:r>
    </w:p>
    <w:p w14:paraId="21F1B4C9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POST /signatures</w:t>
      </w:r>
      <w:r>
        <w:rPr>
          <w:sz w:val="22"/>
        </w:rPr>
        <w:t xml:space="preserve"> (signer_id, image) — register a reference signature, FR-U4</w:t>
      </w:r>
    </w:p>
    <w:p w14:paraId="50B13C90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POST /documents</w:t>
      </w:r>
      <w:r>
        <w:rPr>
          <w:sz w:val="22"/>
        </w:rPr>
        <w:t xml:space="preserve"> (file, doc_type) → </w:t>
      </w:r>
      <w:r>
        <w:rPr>
          <w:rStyle w:val="VerbatimChar"/>
        </w:rPr>
        <w:t>202 {document_id}</w:t>
      </w:r>
      <w:r>
        <w:rPr>
          <w:sz w:val="22"/>
        </w:rPr>
        <w:t xml:space="preserve"> — upload, FR-U2</w:t>
      </w:r>
    </w:p>
    <w:p w14:paraId="3A6D4D55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 /documents/{id}/verification</w:t>
      </w:r>
      <w:r>
        <w:rPr>
          <w:sz w:val="22"/>
        </w:rPr>
        <w:t xml:space="preserve"> → score, label, heatmap URL, sub-scores, reason — FR-U3, FR-D5, FR-D6</w:t>
      </w:r>
    </w:p>
    <w:p w14:paraId="0E3C9ABC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 /documents/{id}/report.pdf</w:t>
      </w:r>
      <w:r>
        <w:rPr>
          <w:sz w:val="22"/>
        </w:rPr>
        <w:t xml:space="preserve"> — downloadable report, FR-U3</w:t>
      </w:r>
    </w:p>
    <w:p w14:paraId="4608E481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 /verifications?user_id=</w:t>
      </w:r>
      <w:r>
        <w:rPr>
          <w:sz w:val="22"/>
        </w:rPr>
        <w:t xml:space="preserve"> — history, FR-U3</w:t>
      </w:r>
    </w:p>
    <w:p w14:paraId="5E330A45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POST /admin/verifications/{id}/decision</w:t>
      </w:r>
      <w:r>
        <w:rPr>
          <w:sz w:val="22"/>
        </w:rPr>
        <w:t xml:space="preserve"> — FR-A2 (admin role only, NFR-9)</w:t>
      </w:r>
    </w:p>
    <w:p w14:paraId="671DD800" w14:textId="77777777" w:rsidR="00647550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GET /admin/audit-log</w:t>
      </w:r>
      <w:r>
        <w:rPr>
          <w:sz w:val="22"/>
        </w:rPr>
        <w:t xml:space="preserve">, </w:t>
      </w:r>
      <w:r>
        <w:rPr>
          <w:rStyle w:val="VerbatimChar"/>
        </w:rPr>
        <w:t>GET /admin/analytics</w:t>
      </w:r>
      <w:r>
        <w:rPr>
          <w:sz w:val="22"/>
        </w:rPr>
        <w:t xml:space="preserve"> — FR-A3</w:t>
      </w:r>
    </w:p>
    <w:p w14:paraId="7EF45728" w14:textId="77777777" w:rsidR="00647550" w:rsidRDefault="00000000">
      <w:pPr>
        <w:pStyle w:val="FirstParagraph"/>
      </w:pPr>
      <w:r>
        <w:rPr>
          <w:sz w:val="22"/>
        </w:rPr>
        <w:t>Upload returns immediately with a document ID (FR-D1–D5 run asynchronously within the NFR-1 budget); the client polls or receives a webhook/SSE push when the verification completes.</w:t>
      </w:r>
    </w:p>
    <w:p w14:paraId="7EC08D97" w14:textId="77777777" w:rsidR="00647550" w:rsidRDefault="00000000">
      <w:pPr>
        <w:pStyle w:val="Heading2"/>
      </w:pPr>
      <w:bookmarkStart w:id="11" w:name="verification-sequence-per-upload"/>
      <w:bookmarkEnd w:id="10"/>
      <w:r>
        <w:rPr>
          <w:sz w:val="26"/>
        </w:rPr>
        <w:t>6. Verification Sequence (per upload)</w:t>
      </w:r>
    </w:p>
    <w:p w14:paraId="3C04E7FF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 xml:space="preserve">Client calls </w:t>
      </w:r>
      <w:r>
        <w:rPr>
          <w:rStyle w:val="VerbatimChar"/>
        </w:rPr>
        <w:t>POST /documents</w:t>
      </w:r>
      <w:r>
        <w:rPr>
          <w:sz w:val="22"/>
        </w:rPr>
        <w:t>; gateway checks auth/role and forwards to the orchestrator.</w:t>
      </w:r>
    </w:p>
    <w:p w14:paraId="2344EB25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>Orchestrator stores the file, computes its SHA-256 (FR-P2), and pre-processes it: deskew, resize, normalise, SRM + ELA maps (FR-D1).</w:t>
      </w:r>
    </w:p>
    <w:p w14:paraId="25FDA530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>Signature service and tamper localiser run (in parallel, since neither depends on the other); OCR/field service runs concurrently with both.</w:t>
      </w:r>
    </w:p>
    <w:p w14:paraId="0EB6E580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>Each service returns its sub-score and evidence to the orchestrator.</w:t>
      </w:r>
    </w:p>
    <w:p w14:paraId="198F28C8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>Fusion service combines the three sub-scores into the final score, label and reason (FR-D5, FR-D6).</w:t>
      </w:r>
    </w:p>
    <w:p w14:paraId="241C4CDC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 xml:space="preserve">Orchestrator writes the </w:t>
      </w:r>
      <w:r>
        <w:rPr>
          <w:rStyle w:val="VerbatimChar"/>
        </w:rPr>
        <w:t>verifications</w:t>
      </w:r>
      <w:r>
        <w:rPr>
          <w:sz w:val="22"/>
        </w:rPr>
        <w:t xml:space="preserve"> row and an </w:t>
      </w:r>
      <w:r>
        <w:rPr>
          <w:rStyle w:val="VerbatimChar"/>
        </w:rPr>
        <w:t>audit_log</w:t>
      </w:r>
      <w:r>
        <w:rPr>
          <w:sz w:val="22"/>
        </w:rPr>
        <w:t xml:space="preserve"> entry (NFR-8), then notifies the client.</w:t>
      </w:r>
    </w:p>
    <w:p w14:paraId="6CBD6358" w14:textId="77777777" w:rsidR="00647550" w:rsidRDefault="00000000">
      <w:pPr>
        <w:pStyle w:val="Compact"/>
        <w:numPr>
          <w:ilvl w:val="0"/>
          <w:numId w:val="3"/>
        </w:numPr>
      </w:pPr>
      <w:r>
        <w:rPr>
          <w:sz w:val="22"/>
        </w:rPr>
        <w:t>If the label is Suspicious, the document additionally appears in the admin review queue (FR-A2).</w:t>
      </w:r>
    </w:p>
    <w:p w14:paraId="3899157D" w14:textId="77777777" w:rsidR="00647550" w:rsidRDefault="00000000">
      <w:pPr>
        <w:pStyle w:val="Heading2"/>
      </w:pPr>
      <w:bookmarkStart w:id="12" w:name="non-functional-design-decisions"/>
      <w:bookmarkEnd w:id="11"/>
      <w:r>
        <w:rPr>
          <w:sz w:val="26"/>
        </w:rPr>
        <w:t>7. Non-Functional Design Decisions</w:t>
      </w:r>
    </w:p>
    <w:tbl>
      <w:tblPr>
        <w:tblStyle w:val="Table"/>
        <w:tblW w:w="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93"/>
        <w:gridCol w:w="7583"/>
      </w:tblGrid>
      <w:tr w:rsidR="00647550" w14:paraId="54F5D97F" w14:textId="77777777">
        <w:tc>
          <w:tcPr>
            <w:tcW w:w="0" w:type="auto"/>
          </w:tcPr>
          <w:p w14:paraId="63DA3340" w14:textId="77777777" w:rsidR="00647550" w:rsidRDefault="00000000">
            <w:pPr>
              <w:pStyle w:val="Compact"/>
            </w:pPr>
            <w:r>
              <w:rPr>
                <w:b/>
                <w:bCs/>
              </w:rPr>
              <w:t>NFR</w:t>
            </w:r>
          </w:p>
        </w:tc>
        <w:tc>
          <w:tcPr>
            <w:tcW w:w="0" w:type="auto"/>
          </w:tcPr>
          <w:p w14:paraId="44ED0C18" w14:textId="77777777" w:rsidR="00647550" w:rsidRDefault="00000000">
            <w:pPr>
              <w:pStyle w:val="Compact"/>
            </w:pPr>
            <w:r>
              <w:rPr>
                <w:b/>
                <w:bCs/>
              </w:rPr>
              <w:t>Design decision</w:t>
            </w:r>
          </w:p>
        </w:tc>
      </w:tr>
      <w:tr w:rsidR="00647550" w14:paraId="5DBCBA12" w14:textId="77777777">
        <w:tc>
          <w:tcPr>
            <w:tcW w:w="0" w:type="auto"/>
          </w:tcPr>
          <w:p w14:paraId="76A5C2BD" w14:textId="77777777" w:rsidR="00647550" w:rsidRDefault="00000000">
            <w:pPr>
              <w:pStyle w:val="Compact"/>
            </w:pPr>
            <w:r>
              <w:t>NFR-1 (&lt;10 s/page)</w:t>
            </w:r>
          </w:p>
        </w:tc>
        <w:tc>
          <w:tcPr>
            <w:tcW w:w="0" w:type="auto"/>
          </w:tcPr>
          <w:p w14:paraId="502CB230" w14:textId="77777777" w:rsidR="00647550" w:rsidRDefault="00000000">
            <w:pPr>
              <w:pStyle w:val="Compact"/>
            </w:pPr>
            <w:r>
              <w:t>Signature, tamper and OCR run concurrently, not in sequence; each model is sized to finish its share of the budget.</w:t>
            </w:r>
          </w:p>
        </w:tc>
      </w:tr>
      <w:tr w:rsidR="00647550" w14:paraId="29154AF7" w14:textId="77777777">
        <w:tc>
          <w:tcPr>
            <w:tcW w:w="0" w:type="auto"/>
          </w:tcPr>
          <w:p w14:paraId="2C3B2E31" w14:textId="77777777" w:rsidR="00647550" w:rsidRDefault="00000000">
            <w:pPr>
              <w:pStyle w:val="Compact"/>
            </w:pPr>
            <w:r>
              <w:t>NFR-2 (consumer GPU/CPU)</w:t>
            </w:r>
          </w:p>
        </w:tc>
        <w:tc>
          <w:tcPr>
            <w:tcW w:w="0" w:type="auto"/>
          </w:tcPr>
          <w:p w14:paraId="7567C59F" w14:textId="77777777" w:rsidR="00647550" w:rsidRDefault="00000000">
            <w:pPr>
              <w:pStyle w:val="Compact"/>
            </w:pPr>
            <w:r>
              <w:t>Tamper localiser uses ResNet-18-scale backbones, not large transformers; quantised inference path for CPU-only deployment.</w:t>
            </w:r>
          </w:p>
        </w:tc>
      </w:tr>
      <w:tr w:rsidR="00647550" w14:paraId="2D9D7611" w14:textId="77777777">
        <w:tc>
          <w:tcPr>
            <w:tcW w:w="0" w:type="auto"/>
          </w:tcPr>
          <w:p w14:paraId="30E9B648" w14:textId="77777777" w:rsidR="00647550" w:rsidRDefault="00000000">
            <w:pPr>
              <w:pStyle w:val="Compact"/>
            </w:pPr>
            <w:r>
              <w:t>NFR-3 (encryption, retention)</w:t>
            </w:r>
          </w:p>
        </w:tc>
        <w:tc>
          <w:tcPr>
            <w:tcW w:w="0" w:type="auto"/>
          </w:tcPr>
          <w:p w14:paraId="1102A5C0" w14:textId="77777777" w:rsidR="00647550" w:rsidRDefault="00000000">
            <w:pPr>
              <w:pStyle w:val="Compact"/>
            </w:pPr>
            <w:r>
              <w:t>Object store server-side encryption; TLS in transit; scheduled job purges files past the configured retention window, keeping only hashes and scores.</w:t>
            </w:r>
          </w:p>
        </w:tc>
      </w:tr>
      <w:tr w:rsidR="00647550" w14:paraId="04251EC6" w14:textId="77777777">
        <w:tc>
          <w:tcPr>
            <w:tcW w:w="0" w:type="auto"/>
          </w:tcPr>
          <w:p w14:paraId="0CC73050" w14:textId="77777777" w:rsidR="00647550" w:rsidRDefault="00000000">
            <w:pPr>
              <w:pStyle w:val="Compact"/>
            </w:pPr>
            <w:r>
              <w:t>NFR-4 (explainable)</w:t>
            </w:r>
          </w:p>
        </w:tc>
        <w:tc>
          <w:tcPr>
            <w:tcW w:w="0" w:type="auto"/>
          </w:tcPr>
          <w:p w14:paraId="50952123" w14:textId="77777777" w:rsidR="00647550" w:rsidRDefault="00000000">
            <w:pPr>
              <w:pStyle w:val="Compact"/>
            </w:pPr>
            <w:r>
              <w:t>Fusion output always includes the heatmap, the three sub-scores and a templated reason string — never a bare label.</w:t>
            </w:r>
          </w:p>
        </w:tc>
      </w:tr>
      <w:tr w:rsidR="00647550" w14:paraId="65722050" w14:textId="77777777">
        <w:tc>
          <w:tcPr>
            <w:tcW w:w="0" w:type="auto"/>
          </w:tcPr>
          <w:p w14:paraId="1F1A4A5A" w14:textId="77777777" w:rsidR="00647550" w:rsidRDefault="00000000">
            <w:pPr>
              <w:pStyle w:val="Compact"/>
            </w:pPr>
            <w:r>
              <w:t>NFR-5 (proper evaluation)</w:t>
            </w:r>
          </w:p>
        </w:tc>
        <w:tc>
          <w:tcPr>
            <w:tcW w:w="0" w:type="auto"/>
          </w:tcPr>
          <w:p w14:paraId="4EA32FEB" w14:textId="77777777" w:rsidR="00647550" w:rsidRDefault="00000000">
            <w:pPr>
              <w:pStyle w:val="Compact"/>
            </w:pPr>
            <w:r>
              <w:t>Each service reports precision/recall/F1/AUC on held-out splits in its own eval harness; class weighting applied where training data is imbalanced.</w:t>
            </w:r>
          </w:p>
        </w:tc>
      </w:tr>
      <w:tr w:rsidR="00647550" w14:paraId="32B3D61D" w14:textId="77777777">
        <w:tc>
          <w:tcPr>
            <w:tcW w:w="0" w:type="auto"/>
          </w:tcPr>
          <w:p w14:paraId="664E8403" w14:textId="77777777" w:rsidR="00647550" w:rsidRDefault="00000000">
            <w:pPr>
              <w:pStyle w:val="Compact"/>
            </w:pPr>
            <w:r>
              <w:t>NFR-6 (few-shot signer)</w:t>
            </w:r>
          </w:p>
        </w:tc>
        <w:tc>
          <w:tcPr>
            <w:tcW w:w="0" w:type="auto"/>
          </w:tcPr>
          <w:p w14:paraId="6D2B56F5" w14:textId="77777777" w:rsidR="00647550" w:rsidRDefault="00000000">
            <w:pPr>
              <w:pStyle w:val="Compact"/>
            </w:pPr>
            <w:r>
              <w:t xml:space="preserve">Metric-learning embedding model is frozen at inference; adding a signer is an insert into </w:t>
            </w:r>
            <w:r>
              <w:rPr>
                <w:rStyle w:val="VerbatimChar"/>
                <w:sz w:val="20"/>
              </w:rPr>
              <w:t>signatures</w:t>
            </w:r>
            <w:r>
              <w:t>, not a training job.</w:t>
            </w:r>
          </w:p>
        </w:tc>
      </w:tr>
      <w:tr w:rsidR="00647550" w14:paraId="293B697D" w14:textId="77777777">
        <w:tc>
          <w:tcPr>
            <w:tcW w:w="0" w:type="auto"/>
          </w:tcPr>
          <w:p w14:paraId="3829D999" w14:textId="77777777" w:rsidR="00647550" w:rsidRDefault="00000000">
            <w:pPr>
              <w:pStyle w:val="Compact"/>
            </w:pPr>
            <w:r>
              <w:t>NFR-7 (replaceable detectors)</w:t>
            </w:r>
          </w:p>
        </w:tc>
        <w:tc>
          <w:tcPr>
            <w:tcW w:w="0" w:type="auto"/>
          </w:tcPr>
          <w:p w14:paraId="388D8BDD" w14:textId="77777777" w:rsidR="00647550" w:rsidRDefault="00000000">
            <w:pPr>
              <w:pStyle w:val="Compact"/>
            </w:pPr>
            <w:r>
              <w:t>Every worker implements the same contract: image/crop in, {sub_score, evidence} out, over an internal queue/HTTP call — swappable independently.</w:t>
            </w:r>
          </w:p>
        </w:tc>
      </w:tr>
      <w:tr w:rsidR="00647550" w14:paraId="70868A52" w14:textId="77777777">
        <w:tc>
          <w:tcPr>
            <w:tcW w:w="0" w:type="auto"/>
          </w:tcPr>
          <w:p w14:paraId="674AAFD5" w14:textId="77777777" w:rsidR="00647550" w:rsidRDefault="00000000">
            <w:pPr>
              <w:pStyle w:val="Compact"/>
            </w:pPr>
            <w:r>
              <w:lastRenderedPageBreak/>
              <w:t>NFR-8 (audit log)</w:t>
            </w:r>
          </w:p>
        </w:tc>
        <w:tc>
          <w:tcPr>
            <w:tcW w:w="0" w:type="auto"/>
          </w:tcPr>
          <w:p w14:paraId="37486CE6" w14:textId="77777777" w:rsidR="00647550" w:rsidRDefault="00000000">
            <w:pPr>
              <w:pStyle w:val="Compact"/>
            </w:pPr>
            <w:r>
              <w:rPr>
                <w:rStyle w:val="VerbatimChar"/>
                <w:sz w:val="20"/>
              </w:rPr>
              <w:t>audit_log</w:t>
            </w:r>
            <w:r>
              <w:t xml:space="preserve"> is insert-only at the DB level (no UPDATE/DELETE grants on that table for the application role).</w:t>
            </w:r>
          </w:p>
        </w:tc>
      </w:tr>
      <w:tr w:rsidR="00647550" w14:paraId="664DEE34" w14:textId="77777777">
        <w:tc>
          <w:tcPr>
            <w:tcW w:w="0" w:type="auto"/>
          </w:tcPr>
          <w:p w14:paraId="747552AA" w14:textId="77777777" w:rsidR="00647550" w:rsidRDefault="00000000">
            <w:pPr>
              <w:pStyle w:val="Compact"/>
            </w:pPr>
            <w:r>
              <w:t>NFR-9 (RBAC)</w:t>
            </w:r>
          </w:p>
        </w:tc>
        <w:tc>
          <w:tcPr>
            <w:tcW w:w="0" w:type="auto"/>
          </w:tcPr>
          <w:p w14:paraId="53F12CBB" w14:textId="77777777" w:rsidR="00647550" w:rsidRDefault="00000000">
            <w:pPr>
              <w:pStyle w:val="Compact"/>
            </w:pPr>
            <w:r>
              <w:t xml:space="preserve">Gateway checks </w:t>
            </w:r>
            <w:r>
              <w:rPr>
                <w:rStyle w:val="VerbatimChar"/>
                <w:sz w:val="20"/>
              </w:rPr>
              <w:t>role</w:t>
            </w:r>
            <w:r>
              <w:t xml:space="preserve"> claim on every request; admin-only routes return 403 for the verifier role.</w:t>
            </w:r>
          </w:p>
        </w:tc>
      </w:tr>
      <w:tr w:rsidR="00647550" w14:paraId="40EC4859" w14:textId="77777777">
        <w:tc>
          <w:tcPr>
            <w:tcW w:w="0" w:type="auto"/>
          </w:tcPr>
          <w:p w14:paraId="56B82CC9" w14:textId="77777777" w:rsidR="00647550" w:rsidRDefault="00000000">
            <w:pPr>
              <w:pStyle w:val="Compact"/>
            </w:pPr>
            <w:r>
              <w:t>NFR-10 (robust capture)</w:t>
            </w:r>
          </w:p>
        </w:tc>
        <w:tc>
          <w:tcPr>
            <w:tcW w:w="0" w:type="auto"/>
          </w:tcPr>
          <w:p w14:paraId="729B0A6F" w14:textId="77777777" w:rsidR="00647550" w:rsidRDefault="00000000">
            <w:pPr>
              <w:pStyle w:val="Compact"/>
            </w:pPr>
            <w:r>
              <w:t>Training-time augmentation (rotation, scale, noise, blur, recompression, print-scan) across all three detector models.</w:t>
            </w:r>
          </w:p>
        </w:tc>
      </w:tr>
    </w:tbl>
    <w:p w14:paraId="43A05A1F" w14:textId="77777777" w:rsidR="00647550" w:rsidRDefault="00000000">
      <w:pPr>
        <w:pStyle w:val="Heading2"/>
      </w:pPr>
      <w:bookmarkStart w:id="13" w:name="technology-stack"/>
      <w:bookmarkEnd w:id="12"/>
      <w:r>
        <w:rPr>
          <w:sz w:val="26"/>
        </w:rPr>
        <w:t>8. Technology Stack</w:t>
      </w:r>
    </w:p>
    <w:p w14:paraId="79AE1E4A" w14:textId="77777777" w:rsidR="00647550" w:rsidRDefault="00000000">
      <w:pPr>
        <w:pStyle w:val="Compact"/>
        <w:numPr>
          <w:ilvl w:val="0"/>
          <w:numId w:val="4"/>
        </w:numPr>
      </w:pPr>
      <w:r>
        <w:rPr>
          <w:sz w:val="22"/>
        </w:rPr>
        <w:t>API &amp; orchestrator: Python (FastAPI) — async I/O suits the fan-out/fan-in call pattern in Section 6.</w:t>
      </w:r>
    </w:p>
    <w:p w14:paraId="27CD0494" w14:textId="77777777" w:rsidR="00647550" w:rsidRDefault="00000000">
      <w:pPr>
        <w:pStyle w:val="Compact"/>
        <w:numPr>
          <w:ilvl w:val="0"/>
          <w:numId w:val="4"/>
        </w:numPr>
      </w:pPr>
      <w:r>
        <w:rPr>
          <w:sz w:val="22"/>
        </w:rPr>
        <w:t>Detector services: PyTorch (signature embedding model, SRM/RGB dual-stream localiser); Tesseract/PaddleOCR for text extraction.</w:t>
      </w:r>
    </w:p>
    <w:p w14:paraId="7F3579CE" w14:textId="77777777" w:rsidR="00647550" w:rsidRDefault="00000000">
      <w:pPr>
        <w:pStyle w:val="Compact"/>
        <w:numPr>
          <w:ilvl w:val="0"/>
          <w:numId w:val="4"/>
        </w:numPr>
      </w:pPr>
      <w:r>
        <w:rPr>
          <w:sz w:val="22"/>
        </w:rPr>
        <w:t>Storage: PostgreSQL for structured data; S3-compatible object storage for images/heatmaps.</w:t>
      </w:r>
    </w:p>
    <w:p w14:paraId="418EBE16" w14:textId="77777777" w:rsidR="00647550" w:rsidRDefault="00000000">
      <w:pPr>
        <w:pStyle w:val="Compact"/>
        <w:numPr>
          <w:ilvl w:val="0"/>
          <w:numId w:val="4"/>
        </w:numPr>
      </w:pPr>
      <w:r>
        <w:rPr>
          <w:sz w:val="22"/>
        </w:rPr>
        <w:t>Web client: React, calling only the REST API in Section 5 (FR-P1), so a mobile client can reuse it unchanged.</w:t>
      </w:r>
    </w:p>
    <w:p w14:paraId="1C1F1B33" w14:textId="77777777" w:rsidR="00647550" w:rsidRDefault="00000000">
      <w:pPr>
        <w:pStyle w:val="Heading2"/>
      </w:pPr>
      <w:bookmarkStart w:id="14" w:name="phase-2-out-of-scope-here"/>
      <w:bookmarkEnd w:id="13"/>
      <w:r>
        <w:rPr>
          <w:sz w:val="26"/>
        </w:rPr>
        <w:t>9. Phase 2 (Out of Scope Here)</w:t>
      </w:r>
    </w:p>
    <w:p w14:paraId="706338C2" w14:textId="77777777" w:rsidR="00647550" w:rsidRDefault="00000000">
      <w:pPr>
        <w:pStyle w:val="FirstParagraph"/>
      </w:pPr>
      <w:r>
        <w:rPr>
          <w:sz w:val="22"/>
        </w:rPr>
        <w:t>Consistent with the survey's scope notes (Section 4.4 of the Literature Survey Report): blockchain anchoring of the document hash already stored under FR-P2, and an anomaly-detection worker for forgery types outside the training distribution (Gap 8), can be added behind the same replaceable-detector interface (NFR-7) without changing the orchestrator, fusion logic or API.</w:t>
      </w:r>
      <w:bookmarkEnd w:id="0"/>
      <w:bookmarkEnd w:id="14"/>
    </w:p>
    <w:sectPr w:rsidR="006475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F9696" w14:textId="77777777" w:rsidR="00FE15F8" w:rsidRDefault="00FE15F8">
      <w:pPr>
        <w:spacing w:after="0"/>
      </w:pPr>
      <w:r>
        <w:separator/>
      </w:r>
    </w:p>
  </w:endnote>
  <w:endnote w:type="continuationSeparator" w:id="0">
    <w:p w14:paraId="303BFDDB" w14:textId="77777777" w:rsidR="00FE15F8" w:rsidRDefault="00FE15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F9359" w14:textId="77777777" w:rsidR="00FE15F8" w:rsidRDefault="00FE15F8">
      <w:r>
        <w:separator/>
      </w:r>
    </w:p>
  </w:footnote>
  <w:footnote w:type="continuationSeparator" w:id="0">
    <w:p w14:paraId="27FC5DAD" w14:textId="77777777" w:rsidR="00FE15F8" w:rsidRDefault="00FE1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8C674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9CA73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697E7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994645328">
    <w:abstractNumId w:val="1"/>
  </w:num>
  <w:num w:numId="2" w16cid:durableId="420759662">
    <w:abstractNumId w:val="0"/>
  </w:num>
  <w:num w:numId="3" w16cid:durableId="312416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75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47550"/>
    <w:rsid w:val="00681569"/>
    <w:rsid w:val="00784D58"/>
    <w:rsid w:val="008D6863"/>
    <w:rsid w:val="00B62B72"/>
    <w:rsid w:val="00B86B75"/>
    <w:rsid w:val="00BC48D5"/>
    <w:rsid w:val="00C36279"/>
    <w:rsid w:val="00E315A3"/>
    <w:rsid w:val="00FE15F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EA887"/>
  <w15:docId w15:val="{2FB445D5-7D7F-724D-9FF7-92CAD5EC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eastAsia="Calibri" w:hAnsi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eastAsia="Calibri" w:hAnsi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Calibri" w:eastAsia="Calibri" w:hAnsi="Calibri"/>
      <w:sz w:val="20"/>
      <w:szCs w:val="20"/>
      <w:lang w:val="en-IN"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Calibri" w:eastAsia="Calibri" w:hAnsi="Calibri"/>
    </w:rPr>
  </w:style>
  <w:style w:type="character" w:customStyle="1" w:styleId="VerbatimChar">
    <w:name w:val="Verbatim Char"/>
    <w:basedOn w:val="CaptionChar"/>
    <w:link w:val="SourceCode"/>
    <w:rPr>
      <w:rFonts w:ascii="Calibri" w:eastAsia="Calibri" w:hAnsi="Calibri"/>
      <w:sz w:val="22"/>
    </w:rPr>
  </w:style>
  <w:style w:type="character" w:customStyle="1" w:styleId="SectionNumber">
    <w:name w:val="Section Number"/>
    <w:basedOn w:val="CaptionChar"/>
    <w:rPr>
      <w:rFonts w:ascii="Calibri" w:eastAsia="Calibri" w:hAnsi="Calibri"/>
    </w:rPr>
  </w:style>
  <w:style w:type="character" w:styleId="FootnoteReference">
    <w:name w:val="footnote reference"/>
    <w:basedOn w:val="CaptionChar"/>
    <w:rPr>
      <w:rFonts w:ascii="Calibri" w:eastAsia="Calibri" w:hAnsi="Calibri"/>
      <w:vertAlign w:val="superscript"/>
    </w:rPr>
  </w:style>
  <w:style w:type="character" w:styleId="Hyperlink">
    <w:name w:val="Hyperlink"/>
    <w:basedOn w:val="CaptionChar"/>
    <w:rPr>
      <w:rFonts w:ascii="Calibri" w:eastAsia="Calibri" w:hAnsi="Calibri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alibri" w:eastAsia="Calibri" w:hAnsi="Calibri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alibri" w:eastAsia="Calibri" w:hAnsi="Calibri"/>
      <w:color w:val="902000"/>
      <w:sz w:val="22"/>
    </w:rPr>
  </w:style>
  <w:style w:type="character" w:customStyle="1" w:styleId="DecValTok">
    <w:name w:val="DecValTok"/>
    <w:basedOn w:val="VerbatimChar"/>
    <w:rPr>
      <w:rFonts w:ascii="Calibri" w:eastAsia="Calibri" w:hAnsi="Calibri"/>
      <w:color w:val="40A070"/>
      <w:sz w:val="22"/>
    </w:rPr>
  </w:style>
  <w:style w:type="character" w:customStyle="1" w:styleId="BaseNTok">
    <w:name w:val="BaseNTok"/>
    <w:basedOn w:val="VerbatimChar"/>
    <w:rPr>
      <w:rFonts w:ascii="Calibri" w:eastAsia="Calibri" w:hAnsi="Calibri"/>
      <w:color w:val="40A070"/>
      <w:sz w:val="22"/>
    </w:rPr>
  </w:style>
  <w:style w:type="character" w:customStyle="1" w:styleId="FloatTok">
    <w:name w:val="FloatTok"/>
    <w:basedOn w:val="VerbatimChar"/>
    <w:rPr>
      <w:rFonts w:ascii="Calibri" w:eastAsia="Calibri" w:hAnsi="Calibri"/>
      <w:color w:val="40A070"/>
      <w:sz w:val="22"/>
    </w:rPr>
  </w:style>
  <w:style w:type="character" w:customStyle="1" w:styleId="ConstantTok">
    <w:name w:val="ConstantTok"/>
    <w:basedOn w:val="VerbatimChar"/>
    <w:rPr>
      <w:rFonts w:ascii="Calibri" w:eastAsia="Calibri" w:hAnsi="Calibri"/>
      <w:color w:val="880000"/>
      <w:sz w:val="22"/>
    </w:rPr>
  </w:style>
  <w:style w:type="character" w:customStyle="1" w:styleId="CharTok">
    <w:name w:val="CharTok"/>
    <w:basedOn w:val="VerbatimChar"/>
    <w:rPr>
      <w:rFonts w:ascii="Calibri" w:eastAsia="Calibri" w:hAnsi="Calibri"/>
      <w:color w:val="4070A0"/>
      <w:sz w:val="22"/>
    </w:rPr>
  </w:style>
  <w:style w:type="character" w:customStyle="1" w:styleId="SpecialCharTok">
    <w:name w:val="SpecialCharTok"/>
    <w:basedOn w:val="VerbatimChar"/>
    <w:rPr>
      <w:rFonts w:ascii="Calibri" w:eastAsia="Calibri" w:hAnsi="Calibri"/>
      <w:color w:val="4070A0"/>
      <w:sz w:val="22"/>
    </w:rPr>
  </w:style>
  <w:style w:type="character" w:customStyle="1" w:styleId="StringTok">
    <w:name w:val="StringTok"/>
    <w:basedOn w:val="VerbatimChar"/>
    <w:rPr>
      <w:rFonts w:ascii="Calibri" w:eastAsia="Calibri" w:hAnsi="Calibri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alibri" w:eastAsia="Calibri" w:hAnsi="Calibri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alibri" w:eastAsia="Calibri" w:hAnsi="Calibri"/>
      <w:color w:val="BB6688"/>
      <w:sz w:val="22"/>
    </w:rPr>
  </w:style>
  <w:style w:type="character" w:customStyle="1" w:styleId="ImportTok">
    <w:name w:val="ImportTok"/>
    <w:basedOn w:val="VerbatimChar"/>
    <w:rPr>
      <w:rFonts w:ascii="Calibri" w:eastAsia="Calibri" w:hAnsi="Calibri"/>
      <w:sz w:val="22"/>
    </w:rPr>
  </w:style>
  <w:style w:type="character" w:customStyle="1" w:styleId="CommentTok">
    <w:name w:val="CommentTok"/>
    <w:basedOn w:val="VerbatimChar"/>
    <w:rPr>
      <w:rFonts w:ascii="Calibri" w:eastAsia="Calibri" w:hAnsi="Calibri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alibri" w:eastAsia="Calibri" w:hAnsi="Calibri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alibri" w:eastAsia="Calibri" w:hAnsi="Calibri"/>
      <w:color w:val="007020"/>
      <w:sz w:val="22"/>
    </w:rPr>
  </w:style>
  <w:style w:type="character" w:customStyle="1" w:styleId="FunctionTok">
    <w:name w:val="FunctionTok"/>
    <w:basedOn w:val="VerbatimChar"/>
    <w:rPr>
      <w:rFonts w:ascii="Calibri" w:eastAsia="Calibri" w:hAnsi="Calibri"/>
      <w:color w:val="06287E"/>
      <w:sz w:val="22"/>
    </w:rPr>
  </w:style>
  <w:style w:type="character" w:customStyle="1" w:styleId="VariableTok">
    <w:name w:val="VariableTok"/>
    <w:basedOn w:val="VerbatimChar"/>
    <w:rPr>
      <w:rFonts w:ascii="Calibri" w:eastAsia="Calibri" w:hAnsi="Calibri"/>
      <w:color w:val="19177C"/>
      <w:sz w:val="22"/>
    </w:rPr>
  </w:style>
  <w:style w:type="character" w:customStyle="1" w:styleId="ControlFlowTok">
    <w:name w:val="ControlFlowTok"/>
    <w:basedOn w:val="VerbatimChar"/>
    <w:rPr>
      <w:rFonts w:ascii="Calibri" w:eastAsia="Calibri" w:hAnsi="Calibri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alibri" w:eastAsia="Calibri" w:hAnsi="Calibri"/>
      <w:color w:val="666666"/>
      <w:sz w:val="22"/>
    </w:rPr>
  </w:style>
  <w:style w:type="character" w:customStyle="1" w:styleId="BuiltInTok">
    <w:name w:val="BuiltInTok"/>
    <w:basedOn w:val="VerbatimChar"/>
    <w:rPr>
      <w:rFonts w:ascii="Calibri" w:eastAsia="Calibri" w:hAnsi="Calibri"/>
      <w:sz w:val="22"/>
    </w:rPr>
  </w:style>
  <w:style w:type="character" w:customStyle="1" w:styleId="ExtensionTok">
    <w:name w:val="ExtensionTok"/>
    <w:basedOn w:val="VerbatimChar"/>
    <w:rPr>
      <w:rFonts w:ascii="Calibri" w:eastAsia="Calibri" w:hAnsi="Calibri"/>
      <w:sz w:val="22"/>
    </w:rPr>
  </w:style>
  <w:style w:type="character" w:customStyle="1" w:styleId="PreprocessorTok">
    <w:name w:val="PreprocessorTok"/>
    <w:basedOn w:val="VerbatimChar"/>
    <w:rPr>
      <w:rFonts w:ascii="Calibri" w:eastAsia="Calibri" w:hAnsi="Calibri"/>
      <w:color w:val="BC7A00"/>
      <w:sz w:val="22"/>
    </w:rPr>
  </w:style>
  <w:style w:type="character" w:customStyle="1" w:styleId="AttributeTok">
    <w:name w:val="AttributeTok"/>
    <w:basedOn w:val="VerbatimChar"/>
    <w:rPr>
      <w:rFonts w:ascii="Calibri" w:eastAsia="Calibri" w:hAnsi="Calibri"/>
      <w:color w:val="7D9029"/>
      <w:sz w:val="22"/>
    </w:rPr>
  </w:style>
  <w:style w:type="character" w:customStyle="1" w:styleId="RegionMarkerTok">
    <w:name w:val="RegionMarkerTok"/>
    <w:basedOn w:val="VerbatimChar"/>
    <w:rPr>
      <w:rFonts w:ascii="Calibri" w:eastAsia="Calibri" w:hAnsi="Calibri"/>
      <w:sz w:val="22"/>
    </w:rPr>
  </w:style>
  <w:style w:type="character" w:customStyle="1" w:styleId="InformationTok">
    <w:name w:val="Information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alibri" w:eastAsia="Calibri" w:hAnsi="Calibri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alibri" w:eastAsia="Calibri" w:hAnsi="Calibri"/>
      <w:b/>
      <w:color w:val="FF0000"/>
      <w:sz w:val="22"/>
    </w:rPr>
  </w:style>
  <w:style w:type="character" w:customStyle="1" w:styleId="ErrorTok">
    <w:name w:val="ErrorTok"/>
    <w:basedOn w:val="VerbatimChar"/>
    <w:rPr>
      <w:rFonts w:ascii="Calibri" w:eastAsia="Calibri" w:hAnsi="Calibri"/>
      <w:b/>
      <w:color w:val="FF0000"/>
      <w:sz w:val="22"/>
    </w:rPr>
  </w:style>
  <w:style w:type="character" w:customStyle="1" w:styleId="NormalTok">
    <w:name w:val="NormalTok"/>
    <w:basedOn w:val="VerbatimChar"/>
    <w:rPr>
      <w:rFonts w:ascii="Calibri" w:eastAsia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1543</Words>
  <Characters>8797</Characters>
  <Application>Microsoft Office Word</Application>
  <DocSecurity>0</DocSecurity>
  <Lines>73</Lines>
  <Paragraphs>20</Paragraphs>
  <ScaleCrop>false</ScaleCrop>
  <Company/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Document</dc:title>
  <dc:creator/>
  <cp:keywords/>
  <cp:lastModifiedBy>R SAI PRANAV</cp:lastModifiedBy>
  <cp:revision>2</cp:revision>
  <cp:lastPrinted>2026-10-23T20:17:00Z</cp:lastPrinted>
  <dcterms:created xsi:type="dcterms:W3CDTF">2026-10-23T20:12:00Z</dcterms:created>
  <dcterms:modified xsi:type="dcterms:W3CDTF">2026-10-23T20:17:00Z</dcterms:modified>
  <dc:language>en</dc:language>
</cp:coreProperties>
</file>