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39C3" w14:textId="77777777" w:rsidR="003036FB" w:rsidRDefault="00000000">
      <w:pPr>
        <w:pStyle w:val="Heading1"/>
      </w:pPr>
      <w:bookmarkStart w:id="0" w:name="project-objectives"/>
      <w:r>
        <w:t>PROJECT OBJECTIVES</w:t>
      </w:r>
    </w:p>
    <w:p w14:paraId="115DC968" w14:textId="77777777" w:rsidR="003036FB" w:rsidRDefault="00000000">
      <w:pPr>
        <w:pStyle w:val="FirstParagraph"/>
      </w:pPr>
      <w:r>
        <w:rPr>
          <w:b/>
          <w:bCs/>
          <w:sz w:val="22"/>
        </w:rPr>
        <w:t>REVA Internship Opportunities (RIO)</w:t>
      </w:r>
      <w:r>
        <w:rPr>
          <w:sz w:val="22"/>
        </w:rPr>
        <w:t xml:space="preserve"> | School of Computer Science and Engineering, REVA University, Bengaluru</w:t>
      </w:r>
    </w:p>
    <w:tbl>
      <w:tblPr>
        <w:tblStyle w:val="Table"/>
        <w:tblW w:w="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529"/>
        <w:gridCol w:w="7047"/>
      </w:tblGrid>
      <w:tr w:rsidR="003036FB" w14:paraId="794746A9" w14:textId="77777777">
        <w:tc>
          <w:tcPr>
            <w:tcW w:w="0" w:type="auto"/>
          </w:tcPr>
          <w:p w14:paraId="56044CE8" w14:textId="77777777" w:rsidR="003036FB" w:rsidRDefault="00000000">
            <w:pPr>
              <w:pStyle w:val="Compact"/>
            </w:pPr>
            <w:r>
              <w:t>Particulars</w:t>
            </w:r>
          </w:p>
        </w:tc>
        <w:tc>
          <w:tcPr>
            <w:tcW w:w="0" w:type="auto"/>
          </w:tcPr>
          <w:p w14:paraId="7E074DF9" w14:textId="77777777" w:rsidR="003036FB" w:rsidRDefault="00000000">
            <w:pPr>
              <w:pStyle w:val="Compact"/>
            </w:pPr>
            <w:r>
              <w:t>Details</w:t>
            </w:r>
          </w:p>
        </w:tc>
      </w:tr>
      <w:tr w:rsidR="003036FB" w14:paraId="72C5758C" w14:textId="77777777">
        <w:tc>
          <w:tcPr>
            <w:tcW w:w="0" w:type="auto"/>
          </w:tcPr>
          <w:p w14:paraId="3E6EAF51" w14:textId="77777777" w:rsidR="003036FB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37487BE3" w14:textId="77777777" w:rsidR="003036FB" w:rsidRDefault="00000000">
            <w:pPr>
              <w:pStyle w:val="Compact"/>
            </w:pPr>
            <w:r>
              <w:t>Project Objectives, derived from Section 3 (Literature Gaps) of the Literature Survey Report</w:t>
            </w:r>
          </w:p>
        </w:tc>
      </w:tr>
      <w:tr w:rsidR="003036FB" w14:paraId="743B7DB7" w14:textId="77777777">
        <w:tc>
          <w:tcPr>
            <w:tcW w:w="0" w:type="auto"/>
          </w:tcPr>
          <w:p w14:paraId="1C3B8402" w14:textId="77777777" w:rsidR="003036FB" w:rsidRDefault="00000000">
            <w:pPr>
              <w:pStyle w:val="Compact"/>
            </w:pPr>
            <w:r>
              <w:t>Name of Student</w:t>
            </w:r>
          </w:p>
        </w:tc>
        <w:tc>
          <w:tcPr>
            <w:tcW w:w="0" w:type="auto"/>
          </w:tcPr>
          <w:p w14:paraId="3243F5DA" w14:textId="21F75575" w:rsidR="003036FB" w:rsidRDefault="00F01ECD">
            <w:pPr>
              <w:pStyle w:val="Compact"/>
            </w:pPr>
            <w:r>
              <w:t xml:space="preserve">Pavani V Reddy </w:t>
            </w:r>
          </w:p>
        </w:tc>
      </w:tr>
      <w:tr w:rsidR="003036FB" w14:paraId="1364FB24" w14:textId="77777777">
        <w:tc>
          <w:tcPr>
            <w:tcW w:w="0" w:type="auto"/>
          </w:tcPr>
          <w:p w14:paraId="2952C74C" w14:textId="77777777" w:rsidR="003036FB" w:rsidRDefault="00000000">
            <w:pPr>
              <w:pStyle w:val="Compact"/>
            </w:pPr>
            <w:r>
              <w:t>University Seat Number (USN)</w:t>
            </w:r>
          </w:p>
        </w:tc>
        <w:tc>
          <w:tcPr>
            <w:tcW w:w="0" w:type="auto"/>
          </w:tcPr>
          <w:p w14:paraId="67B48526" w14:textId="3F229D54" w:rsidR="003036FB" w:rsidRDefault="00000000">
            <w:pPr>
              <w:pStyle w:val="Compact"/>
            </w:pPr>
            <w:r>
              <w:t>R23E</w:t>
            </w:r>
            <w:r w:rsidR="00F01ECD">
              <w:t>F176</w:t>
            </w:r>
          </w:p>
        </w:tc>
      </w:tr>
      <w:tr w:rsidR="003036FB" w14:paraId="59D8F559" w14:textId="77777777">
        <w:tc>
          <w:tcPr>
            <w:tcW w:w="0" w:type="auto"/>
          </w:tcPr>
          <w:p w14:paraId="240362FB" w14:textId="77777777" w:rsidR="003036FB" w:rsidRDefault="00000000">
            <w:pPr>
              <w:pStyle w:val="Compact"/>
            </w:pPr>
            <w:r>
              <w:t>Project Title</w:t>
            </w:r>
          </w:p>
        </w:tc>
        <w:tc>
          <w:tcPr>
            <w:tcW w:w="0" w:type="auto"/>
          </w:tcPr>
          <w:p w14:paraId="30F8F4ED" w14:textId="77777777" w:rsidR="003036FB" w:rsidRDefault="00000000">
            <w:pPr>
              <w:pStyle w:val="Compact"/>
            </w:pPr>
            <w:r>
              <w:t>ForgeGuard: An AI-Based Document Forgery Detection and Verification System</w:t>
            </w:r>
          </w:p>
        </w:tc>
      </w:tr>
      <w:tr w:rsidR="003036FB" w14:paraId="4FA9234C" w14:textId="77777777">
        <w:tc>
          <w:tcPr>
            <w:tcW w:w="0" w:type="auto"/>
          </w:tcPr>
          <w:p w14:paraId="73493B95" w14:textId="77777777" w:rsidR="003036FB" w:rsidRDefault="00000000">
            <w:pPr>
              <w:pStyle w:val="Compact"/>
            </w:pPr>
            <w:r>
              <w:t>Track</w:t>
            </w:r>
          </w:p>
        </w:tc>
        <w:tc>
          <w:tcPr>
            <w:tcW w:w="0" w:type="auto"/>
          </w:tcPr>
          <w:p w14:paraId="5B7FC4AE" w14:textId="77777777" w:rsidR="003036FB" w:rsidRDefault="00000000">
            <w:pPr>
              <w:pStyle w:val="Compact"/>
            </w:pPr>
            <w:r>
              <w:t>PS 109</w:t>
            </w:r>
          </w:p>
        </w:tc>
      </w:tr>
      <w:tr w:rsidR="003036FB" w14:paraId="42F56EF0" w14:textId="77777777">
        <w:tc>
          <w:tcPr>
            <w:tcW w:w="0" w:type="auto"/>
          </w:tcPr>
          <w:p w14:paraId="26BBFD84" w14:textId="77777777" w:rsidR="003036FB" w:rsidRDefault="00000000">
            <w:pPr>
              <w:pStyle w:val="Compact"/>
            </w:pPr>
            <w:r>
              <w:t>Faculty Guide</w:t>
            </w:r>
          </w:p>
        </w:tc>
        <w:tc>
          <w:tcPr>
            <w:tcW w:w="0" w:type="auto"/>
          </w:tcPr>
          <w:p w14:paraId="14F981CE" w14:textId="77777777" w:rsidR="003036FB" w:rsidRDefault="00000000">
            <w:pPr>
              <w:pStyle w:val="Compact"/>
            </w:pPr>
            <w:r>
              <w:t>Mala B M</w:t>
            </w:r>
          </w:p>
        </w:tc>
      </w:tr>
      <w:tr w:rsidR="003036FB" w14:paraId="52615726" w14:textId="77777777">
        <w:tc>
          <w:tcPr>
            <w:tcW w:w="0" w:type="auto"/>
          </w:tcPr>
          <w:p w14:paraId="5CADC261" w14:textId="77777777" w:rsidR="003036FB" w:rsidRDefault="00000000">
            <w:pPr>
              <w:pStyle w:val="Compact"/>
            </w:pPr>
            <w:r>
              <w:t>Date of Submission</w:t>
            </w:r>
          </w:p>
        </w:tc>
        <w:tc>
          <w:tcPr>
            <w:tcW w:w="0" w:type="auto"/>
          </w:tcPr>
          <w:p w14:paraId="1106F13C" w14:textId="77777777" w:rsidR="003036FB" w:rsidRDefault="00000000">
            <w:pPr>
              <w:pStyle w:val="Compact"/>
            </w:pPr>
            <w:r>
              <w:t>22 October 2026</w:t>
            </w:r>
          </w:p>
        </w:tc>
      </w:tr>
    </w:tbl>
    <w:p w14:paraId="7B592A29" w14:textId="77777777" w:rsidR="003036FB" w:rsidRDefault="00000000">
      <w:pPr>
        <w:pStyle w:val="Heading2"/>
      </w:pPr>
      <w:bookmarkStart w:id="1" w:name="introduction"/>
      <w:r>
        <w:rPr>
          <w:sz w:val="26"/>
        </w:rPr>
        <w:t>1. Introduction</w:t>
      </w:r>
    </w:p>
    <w:p w14:paraId="26B37389" w14:textId="77777777" w:rsidR="003036FB" w:rsidRDefault="00000000">
      <w:pPr>
        <w:pStyle w:val="FirstParagraph"/>
      </w:pPr>
      <w:r>
        <w:rPr>
          <w:b/>
          <w:bCs/>
          <w:sz w:val="22"/>
        </w:rPr>
        <w:t>1.1 Purpose.</w:t>
      </w:r>
      <w:r>
        <w:rPr>
          <w:sz w:val="22"/>
        </w:rPr>
        <w:t xml:space="preserve"> This document converts the nine literature gaps identified in Section 3 of the Literature Survey and Requirement Analysis Report into a fixed set of project objectives. Each objective names the gap it closes and the requirement identifiers (Section 4 of that report) through which it is implemented, so objectives, requirements and the System Design Document all trace against the same identifiers.</w:t>
      </w:r>
    </w:p>
    <w:p w14:paraId="4D64265C" w14:textId="77777777" w:rsidR="003036FB" w:rsidRDefault="00000000">
      <w:pPr>
        <w:pStyle w:val="BodyText"/>
      </w:pPr>
      <w:r>
        <w:rPr>
          <w:b/>
          <w:bCs/>
          <w:sz w:val="22"/>
        </w:rPr>
        <w:t>1.2 Primary objective.</w:t>
      </w:r>
      <w:r>
        <w:rPr>
          <w:sz w:val="22"/>
        </w:rPr>
        <w:t xml:space="preserve"> To build ForgeGuard, a system that accepts a scanned or photographed document and returns an explainable, evidence-based authenticity decision — by combining signature verification, pixel-level tamper localisation, OCR/field validation and a fused authenticity score — rather than a single opaque genuine/forged label.</w:t>
      </w:r>
    </w:p>
    <w:p w14:paraId="16207E3A" w14:textId="77777777" w:rsidR="003036FB" w:rsidRDefault="00000000">
      <w:pPr>
        <w:pStyle w:val="Heading2"/>
      </w:pPr>
      <w:bookmarkStart w:id="2" w:name="Xaca702dbd0c5ed95d1677b40072317e394b993f"/>
      <w:bookmarkEnd w:id="1"/>
      <w:r>
        <w:rPr>
          <w:sz w:val="26"/>
        </w:rPr>
        <w:t>2. Objectives Derived from the Literature Gaps</w:t>
      </w:r>
    </w:p>
    <w:p w14:paraId="779732A3" w14:textId="77777777" w:rsidR="003036FB" w:rsidRDefault="00000000">
      <w:pPr>
        <w:pStyle w:val="FirstParagraph"/>
      </w:pPr>
      <w:r>
        <w:rPr>
          <w:sz w:val="22"/>
        </w:rPr>
        <w:t>Each objective below is numbered O1–O9 to match Gap 1–Gap 9 in the Literature Survey Report.</w:t>
      </w:r>
    </w:p>
    <w:tbl>
      <w:tblPr>
        <w:tblStyle w:val="Table"/>
        <w:tblW w:w="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50"/>
        <w:gridCol w:w="7341"/>
        <w:gridCol w:w="1785"/>
      </w:tblGrid>
      <w:tr w:rsidR="003036FB" w14:paraId="183A1AB8" w14:textId="77777777">
        <w:tc>
          <w:tcPr>
            <w:tcW w:w="0" w:type="auto"/>
          </w:tcPr>
          <w:p w14:paraId="7E7E808F" w14:textId="77777777" w:rsidR="003036FB" w:rsidRDefault="00000000">
            <w:pPr>
              <w:pStyle w:val="Compact"/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</w:tcPr>
          <w:p w14:paraId="5616FCFC" w14:textId="77777777" w:rsidR="003036FB" w:rsidRDefault="00000000">
            <w:pPr>
              <w:pStyle w:val="Compact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0" w:type="auto"/>
          </w:tcPr>
          <w:p w14:paraId="4AF4464F" w14:textId="77777777" w:rsidR="003036FB" w:rsidRDefault="00000000">
            <w:pPr>
              <w:pStyle w:val="Compact"/>
            </w:pPr>
            <w:r>
              <w:rPr>
                <w:b/>
                <w:bCs/>
              </w:rPr>
              <w:t>Closes / Implemented via</w:t>
            </w:r>
          </w:p>
        </w:tc>
      </w:tr>
      <w:tr w:rsidR="003036FB" w14:paraId="7E45DB8A" w14:textId="77777777">
        <w:tc>
          <w:tcPr>
            <w:tcW w:w="0" w:type="auto"/>
          </w:tcPr>
          <w:p w14:paraId="081FCC67" w14:textId="77777777" w:rsidR="003036FB" w:rsidRDefault="00000000">
            <w:pPr>
              <w:pStyle w:val="Compact"/>
            </w:pPr>
            <w:r>
              <w:t>O1</w:t>
            </w:r>
          </w:p>
        </w:tc>
        <w:tc>
          <w:tcPr>
            <w:tcW w:w="0" w:type="auto"/>
          </w:tcPr>
          <w:p w14:paraId="46F150CD" w14:textId="77777777" w:rsidR="003036FB" w:rsidRDefault="00000000">
            <w:pPr>
              <w:pStyle w:val="Compact"/>
            </w:pPr>
            <w:r>
              <w:t>Detect and clean the signature region directly on the uploaded page, instead of assuming a pre-cropped, clean signature image.</w:t>
            </w:r>
          </w:p>
        </w:tc>
        <w:tc>
          <w:tcPr>
            <w:tcW w:w="0" w:type="auto"/>
          </w:tcPr>
          <w:p w14:paraId="32B5A9F5" w14:textId="77777777" w:rsidR="003036FB" w:rsidRDefault="00000000">
            <w:pPr>
              <w:pStyle w:val="Compact"/>
            </w:pPr>
            <w:r>
              <w:t>Gap 1 → FR-S1, FR-S2</w:t>
            </w:r>
          </w:p>
        </w:tc>
      </w:tr>
      <w:tr w:rsidR="003036FB" w14:paraId="1C1B0B6B" w14:textId="77777777">
        <w:tc>
          <w:tcPr>
            <w:tcW w:w="0" w:type="auto"/>
          </w:tcPr>
          <w:p w14:paraId="59043E88" w14:textId="77777777" w:rsidR="003036FB" w:rsidRDefault="00000000">
            <w:pPr>
              <w:pStyle w:val="Compact"/>
            </w:pPr>
            <w:r>
              <w:t>O2</w:t>
            </w:r>
          </w:p>
        </w:tc>
        <w:tc>
          <w:tcPr>
            <w:tcW w:w="0" w:type="auto"/>
          </w:tcPr>
          <w:p w14:paraId="12DFDBEC" w14:textId="77777777" w:rsidR="003036FB" w:rsidRDefault="00000000">
            <w:pPr>
              <w:pStyle w:val="Compact"/>
            </w:pPr>
            <w:r>
              <w:t>Verify a questioned signature against 1–5 stored references using a writer-independent similarity model, so a new signer can be verified with no retraining.</w:t>
            </w:r>
          </w:p>
        </w:tc>
        <w:tc>
          <w:tcPr>
            <w:tcW w:w="0" w:type="auto"/>
          </w:tcPr>
          <w:p w14:paraId="3104B185" w14:textId="77777777" w:rsidR="003036FB" w:rsidRDefault="00000000">
            <w:pPr>
              <w:pStyle w:val="Compact"/>
            </w:pPr>
            <w:r>
              <w:t>Gap 2 → FR-S3, NFR-6</w:t>
            </w:r>
          </w:p>
        </w:tc>
      </w:tr>
      <w:tr w:rsidR="003036FB" w14:paraId="13464E63" w14:textId="77777777">
        <w:tc>
          <w:tcPr>
            <w:tcW w:w="0" w:type="auto"/>
          </w:tcPr>
          <w:p w14:paraId="5491C204" w14:textId="77777777" w:rsidR="003036FB" w:rsidRDefault="00000000">
            <w:pPr>
              <w:pStyle w:val="Compact"/>
            </w:pPr>
            <w:r>
              <w:t>O3</w:t>
            </w:r>
          </w:p>
        </w:tc>
        <w:tc>
          <w:tcPr>
            <w:tcW w:w="0" w:type="auto"/>
          </w:tcPr>
          <w:p w14:paraId="76CCEB7E" w14:textId="77777777" w:rsidR="003036FB" w:rsidRDefault="00000000">
            <w:pPr>
              <w:pStyle w:val="Compact"/>
            </w:pPr>
            <w:r>
              <w:t>Train and evaluate tamper localisation on document images (not natural photographs), producing a pixel-level mask rather than a whole-image label.</w:t>
            </w:r>
          </w:p>
        </w:tc>
        <w:tc>
          <w:tcPr>
            <w:tcW w:w="0" w:type="auto"/>
          </w:tcPr>
          <w:p w14:paraId="2E732B06" w14:textId="77777777" w:rsidR="003036FB" w:rsidRDefault="00000000">
            <w:pPr>
              <w:pStyle w:val="Compact"/>
            </w:pPr>
            <w:r>
              <w:t>Gap 3 → FR-D1, FR-D2</w:t>
            </w:r>
          </w:p>
        </w:tc>
      </w:tr>
      <w:tr w:rsidR="003036FB" w14:paraId="48A820DD" w14:textId="77777777">
        <w:tc>
          <w:tcPr>
            <w:tcW w:w="0" w:type="auto"/>
          </w:tcPr>
          <w:p w14:paraId="0B39F134" w14:textId="77777777" w:rsidR="003036FB" w:rsidRDefault="00000000">
            <w:pPr>
              <w:pStyle w:val="Compact"/>
            </w:pPr>
            <w:r>
              <w:t>O4</w:t>
            </w:r>
          </w:p>
        </w:tc>
        <w:tc>
          <w:tcPr>
            <w:tcW w:w="0" w:type="auto"/>
          </w:tcPr>
          <w:p w14:paraId="48E70512" w14:textId="77777777" w:rsidR="003036FB" w:rsidRDefault="00000000">
            <w:pPr>
              <w:pStyle w:val="Compact"/>
            </w:pPr>
            <w:r>
              <w:t>Reduce reliance on JPEG/compression artefacts by fusing a noise-residual (SRM) stream with a semantic RGB stream, using ELA only as one supporting signal.</w:t>
            </w:r>
          </w:p>
        </w:tc>
        <w:tc>
          <w:tcPr>
            <w:tcW w:w="0" w:type="auto"/>
          </w:tcPr>
          <w:p w14:paraId="61BA71AF" w14:textId="77777777" w:rsidR="003036FB" w:rsidRDefault="00000000">
            <w:pPr>
              <w:pStyle w:val="Compact"/>
            </w:pPr>
            <w:r>
              <w:t>Gap 4 → FR-D1, FR-D2</w:t>
            </w:r>
          </w:p>
        </w:tc>
      </w:tr>
      <w:tr w:rsidR="003036FB" w14:paraId="70A95752" w14:textId="77777777">
        <w:tc>
          <w:tcPr>
            <w:tcW w:w="0" w:type="auto"/>
          </w:tcPr>
          <w:p w14:paraId="75019367" w14:textId="77777777" w:rsidR="003036FB" w:rsidRDefault="00000000">
            <w:pPr>
              <w:pStyle w:val="Compact"/>
            </w:pPr>
            <w:r>
              <w:t>O5</w:t>
            </w:r>
          </w:p>
        </w:tc>
        <w:tc>
          <w:tcPr>
            <w:tcW w:w="0" w:type="auto"/>
          </w:tcPr>
          <w:p w14:paraId="5880BD71" w14:textId="77777777" w:rsidR="003036FB" w:rsidRDefault="00000000">
            <w:pPr>
              <w:pStyle w:val="Compact"/>
            </w:pPr>
            <w:r>
              <w:t>Fuse visual, signature and OCR/arithmetic evidence into a single authenticity score, so forgeries invisible to any one modality are still caught.</w:t>
            </w:r>
          </w:p>
        </w:tc>
        <w:tc>
          <w:tcPr>
            <w:tcW w:w="0" w:type="auto"/>
          </w:tcPr>
          <w:p w14:paraId="5DF08EF6" w14:textId="77777777" w:rsidR="003036FB" w:rsidRDefault="00000000">
            <w:pPr>
              <w:pStyle w:val="Compact"/>
            </w:pPr>
            <w:r>
              <w:t>Gap 5 → FR-D3, FR-D4, FR-D5</w:t>
            </w:r>
          </w:p>
        </w:tc>
      </w:tr>
      <w:tr w:rsidR="003036FB" w14:paraId="5ED4A6AC" w14:textId="77777777">
        <w:tc>
          <w:tcPr>
            <w:tcW w:w="0" w:type="auto"/>
          </w:tcPr>
          <w:p w14:paraId="2B87CA78" w14:textId="77777777" w:rsidR="003036FB" w:rsidRDefault="00000000">
            <w:pPr>
              <w:pStyle w:val="Compact"/>
            </w:pPr>
            <w:r>
              <w:t>O6</w:t>
            </w:r>
          </w:p>
        </w:tc>
        <w:tc>
          <w:tcPr>
            <w:tcW w:w="0" w:type="auto"/>
          </w:tcPr>
          <w:p w14:paraId="136F23CE" w14:textId="77777777" w:rsidR="003036FB" w:rsidRDefault="00000000">
            <w:pPr>
              <w:pStyle w:val="Compact"/>
            </w:pPr>
            <w:r>
              <w:t xml:space="preserve">Make every decision explainable to a non-expert verifier: a 0–100 score, a label, a </w:t>
            </w:r>
            <w:r>
              <w:lastRenderedPageBreak/>
              <w:t>heatmap, per-check sub-scores and a plain-language reason.</w:t>
            </w:r>
          </w:p>
        </w:tc>
        <w:tc>
          <w:tcPr>
            <w:tcW w:w="0" w:type="auto"/>
          </w:tcPr>
          <w:p w14:paraId="29BD50E2" w14:textId="77777777" w:rsidR="003036FB" w:rsidRDefault="00000000">
            <w:pPr>
              <w:pStyle w:val="Compact"/>
            </w:pPr>
            <w:r>
              <w:lastRenderedPageBreak/>
              <w:t xml:space="preserve">Gap 6 → FR-D5, </w:t>
            </w:r>
            <w:r>
              <w:lastRenderedPageBreak/>
              <w:t>FR-D6, NFR-4</w:t>
            </w:r>
          </w:p>
        </w:tc>
      </w:tr>
      <w:tr w:rsidR="003036FB" w14:paraId="3827F99F" w14:textId="77777777">
        <w:tc>
          <w:tcPr>
            <w:tcW w:w="0" w:type="auto"/>
          </w:tcPr>
          <w:p w14:paraId="1F0AF3A5" w14:textId="77777777" w:rsidR="003036FB" w:rsidRDefault="00000000">
            <w:pPr>
              <w:pStyle w:val="Compact"/>
            </w:pPr>
            <w:r>
              <w:lastRenderedPageBreak/>
              <w:t>O7</w:t>
            </w:r>
          </w:p>
        </w:tc>
        <w:tc>
          <w:tcPr>
            <w:tcW w:w="0" w:type="auto"/>
          </w:tcPr>
          <w:p w14:paraId="0231CEA5" w14:textId="77777777" w:rsidR="003036FB" w:rsidRDefault="00000000">
            <w:pPr>
              <w:pStyle w:val="Compact"/>
            </w:pPr>
            <w:r>
              <w:t>Evaluate every model with precision, recall, F1 and AUC on held-out data, and handle class imbalance explicitly, rather than quoting accuracy alone on small datasets.</w:t>
            </w:r>
          </w:p>
        </w:tc>
        <w:tc>
          <w:tcPr>
            <w:tcW w:w="0" w:type="auto"/>
          </w:tcPr>
          <w:p w14:paraId="4BD15147" w14:textId="77777777" w:rsidR="003036FB" w:rsidRDefault="00000000">
            <w:pPr>
              <w:pStyle w:val="Compact"/>
            </w:pPr>
            <w:r>
              <w:t>Gap 7 → NFR-5</w:t>
            </w:r>
          </w:p>
        </w:tc>
      </w:tr>
      <w:tr w:rsidR="003036FB" w14:paraId="7FBE7B00" w14:textId="77777777">
        <w:tc>
          <w:tcPr>
            <w:tcW w:w="0" w:type="auto"/>
          </w:tcPr>
          <w:p w14:paraId="70A017A9" w14:textId="77777777" w:rsidR="003036FB" w:rsidRDefault="00000000">
            <w:pPr>
              <w:pStyle w:val="Compact"/>
            </w:pPr>
            <w:r>
              <w:t>O8</w:t>
            </w:r>
          </w:p>
        </w:tc>
        <w:tc>
          <w:tcPr>
            <w:tcW w:w="0" w:type="auto"/>
          </w:tcPr>
          <w:p w14:paraId="48B89280" w14:textId="77777777" w:rsidR="003036FB" w:rsidRDefault="00000000">
            <w:pPr>
              <w:pStyle w:val="Compact"/>
            </w:pPr>
            <w:r>
              <w:t>Keep each detector behind a fixed, replaceable interface, so an anomaly detector or a newer model for an unseen forgery type can be added later without redesigning the pipeline.</w:t>
            </w:r>
          </w:p>
        </w:tc>
        <w:tc>
          <w:tcPr>
            <w:tcW w:w="0" w:type="auto"/>
          </w:tcPr>
          <w:p w14:paraId="6BD905C0" w14:textId="77777777" w:rsidR="003036FB" w:rsidRDefault="00000000">
            <w:pPr>
              <w:pStyle w:val="Compact"/>
            </w:pPr>
            <w:r>
              <w:t>Gap 8 → NFR-7</w:t>
            </w:r>
          </w:p>
        </w:tc>
      </w:tr>
      <w:tr w:rsidR="003036FB" w14:paraId="18165529" w14:textId="77777777">
        <w:tc>
          <w:tcPr>
            <w:tcW w:w="0" w:type="auto"/>
          </w:tcPr>
          <w:p w14:paraId="4981B08D" w14:textId="77777777" w:rsidR="003036FB" w:rsidRDefault="00000000">
            <w:pPr>
              <w:pStyle w:val="Compact"/>
            </w:pPr>
            <w:r>
              <w:t>O9</w:t>
            </w:r>
          </w:p>
        </w:tc>
        <w:tc>
          <w:tcPr>
            <w:tcW w:w="0" w:type="auto"/>
          </w:tcPr>
          <w:p w14:paraId="0F5EED50" w14:textId="77777777" w:rsidR="003036FB" w:rsidRDefault="00000000">
            <w:pPr>
              <w:pStyle w:val="Compact"/>
            </w:pPr>
            <w:r>
              <w:t>Maintain a tamper-evident, append-only audit record (document hash plus result) for every verification, so the system's own decisions stay checkable — and the design stays ready for blockchain anchoring in Phase 2.</w:t>
            </w:r>
          </w:p>
        </w:tc>
        <w:tc>
          <w:tcPr>
            <w:tcW w:w="0" w:type="auto"/>
          </w:tcPr>
          <w:p w14:paraId="47C2D29B" w14:textId="77777777" w:rsidR="003036FB" w:rsidRDefault="00000000">
            <w:pPr>
              <w:pStyle w:val="Compact"/>
            </w:pPr>
            <w:r>
              <w:t>Gap 9 → FR-P2, FR-A3, NFR-8</w:t>
            </w:r>
          </w:p>
        </w:tc>
      </w:tr>
    </w:tbl>
    <w:p w14:paraId="2BCDB8FF" w14:textId="77777777" w:rsidR="003036FB" w:rsidRDefault="00000000">
      <w:pPr>
        <w:pStyle w:val="Heading2"/>
      </w:pPr>
      <w:bookmarkStart w:id="3" w:name="scope-boundary"/>
      <w:bookmarkEnd w:id="2"/>
      <w:r>
        <w:rPr>
          <w:sz w:val="26"/>
        </w:rPr>
        <w:t>3. Scope Boundary</w:t>
      </w:r>
    </w:p>
    <w:p w14:paraId="0E3EE3D5" w14:textId="77777777" w:rsidR="003036FB" w:rsidRDefault="00000000">
      <w:pPr>
        <w:pStyle w:val="FirstParagraph"/>
      </w:pPr>
      <w:r>
        <w:rPr>
          <w:sz w:val="22"/>
        </w:rPr>
        <w:t>Objectives O1–O9 define Phase 1 and are the ones the System Design Document implements. Two items raised by the survey are explicitly out of scope for Phase 1: full blockchain anchoring of the document hash (papers [50], [51]) and hyperspectral ink analysis (paper [45]), both of which need hardware or infrastructure beyond a single web service. O9 keeps the design ready for the former by storing the hash now.</w:t>
      </w:r>
    </w:p>
    <w:p w14:paraId="1DB72A03" w14:textId="77777777" w:rsidR="003036FB" w:rsidRDefault="00000000">
      <w:pPr>
        <w:pStyle w:val="Heading2"/>
      </w:pPr>
      <w:bookmarkStart w:id="4" w:name="conclusion"/>
      <w:bookmarkEnd w:id="3"/>
      <w:r>
        <w:rPr>
          <w:sz w:val="26"/>
        </w:rPr>
        <w:t>4. Conclusion</w:t>
      </w:r>
    </w:p>
    <w:p w14:paraId="16D38172" w14:textId="77777777" w:rsidR="003036FB" w:rsidRDefault="00000000">
      <w:pPr>
        <w:pStyle w:val="FirstParagraph"/>
      </w:pPr>
      <w:r>
        <w:rPr>
          <w:sz w:val="22"/>
        </w:rPr>
        <w:t>These nine objectives are exhaustive with respect to the gaps found in the survey: every gap in Section 3 maps to exactly one objective, and every objective maps to the requirement identifiers carried into the System Design Document. No objective is added without a corresponding gap, and no gap is left without an objective.</w:t>
      </w:r>
      <w:bookmarkEnd w:id="0"/>
      <w:bookmarkEnd w:id="4"/>
    </w:p>
    <w:sectPr w:rsidR="003036F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0F662" w14:textId="77777777" w:rsidR="001733D8" w:rsidRDefault="001733D8">
      <w:pPr>
        <w:spacing w:after="0"/>
      </w:pPr>
      <w:r>
        <w:separator/>
      </w:r>
    </w:p>
  </w:endnote>
  <w:endnote w:type="continuationSeparator" w:id="0">
    <w:p w14:paraId="09E42C6E" w14:textId="77777777" w:rsidR="001733D8" w:rsidRDefault="001733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D5709" w14:textId="77777777" w:rsidR="001733D8" w:rsidRDefault="001733D8">
      <w:r>
        <w:separator/>
      </w:r>
    </w:p>
  </w:footnote>
  <w:footnote w:type="continuationSeparator" w:id="0">
    <w:p w14:paraId="2CD92159" w14:textId="77777777" w:rsidR="001733D8" w:rsidRDefault="001733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8E106F8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96157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733D8"/>
    <w:rsid w:val="003036FB"/>
    <w:rsid w:val="004E29B3"/>
    <w:rsid w:val="00590D07"/>
    <w:rsid w:val="00784D58"/>
    <w:rsid w:val="008D6863"/>
    <w:rsid w:val="00B62B72"/>
    <w:rsid w:val="00B86B75"/>
    <w:rsid w:val="00BC48D5"/>
    <w:rsid w:val="00C36279"/>
    <w:rsid w:val="00E315A3"/>
    <w:rsid w:val="00F01EC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72737"/>
  <w15:docId w15:val="{2FB445D5-7D7F-724D-9FF7-92CAD5EC3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Calibri" w:eastAsia="Calibri" w:hAnsi="Calibri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eastAsia="Calibri" w:hAnsi="Calibri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eastAsia="Calibri" w:hAnsi="Calibri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Pr>
      <w:rFonts w:ascii="Calibri" w:eastAsia="Calibri" w:hAnsi="Calibri"/>
      <w:sz w:val="20"/>
      <w:szCs w:val="20"/>
      <w:lang w:val="en-IN" w:eastAsia="en-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Calibri" w:eastAsia="Calibri" w:hAnsi="Calibri"/>
    </w:rPr>
  </w:style>
  <w:style w:type="character" w:customStyle="1" w:styleId="VerbatimChar">
    <w:name w:val="Verbatim Char"/>
    <w:basedOn w:val="CaptionChar"/>
    <w:link w:val="SourceCode"/>
    <w:rPr>
      <w:rFonts w:ascii="Calibri" w:eastAsia="Calibri" w:hAnsi="Calibri"/>
      <w:sz w:val="22"/>
    </w:rPr>
  </w:style>
  <w:style w:type="character" w:customStyle="1" w:styleId="SectionNumber">
    <w:name w:val="Section Number"/>
    <w:basedOn w:val="CaptionChar"/>
    <w:rPr>
      <w:rFonts w:ascii="Calibri" w:eastAsia="Calibri" w:hAnsi="Calibri"/>
    </w:rPr>
  </w:style>
  <w:style w:type="character" w:styleId="FootnoteReference">
    <w:name w:val="footnote reference"/>
    <w:basedOn w:val="CaptionChar"/>
    <w:rPr>
      <w:rFonts w:ascii="Calibri" w:eastAsia="Calibri" w:hAnsi="Calibri"/>
      <w:vertAlign w:val="superscript"/>
    </w:rPr>
  </w:style>
  <w:style w:type="character" w:styleId="Hyperlink">
    <w:name w:val="Hyperlink"/>
    <w:basedOn w:val="CaptionChar"/>
    <w:rPr>
      <w:rFonts w:ascii="Calibri" w:eastAsia="Calibri" w:hAnsi="Calibri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alibri" w:eastAsia="Calibri" w:hAnsi="Calibri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alibri" w:eastAsia="Calibri" w:hAnsi="Calibri"/>
      <w:color w:val="902000"/>
      <w:sz w:val="22"/>
    </w:rPr>
  </w:style>
  <w:style w:type="character" w:customStyle="1" w:styleId="DecValTok">
    <w:name w:val="DecValTok"/>
    <w:basedOn w:val="VerbatimChar"/>
    <w:rPr>
      <w:rFonts w:ascii="Calibri" w:eastAsia="Calibri" w:hAnsi="Calibri"/>
      <w:color w:val="40A070"/>
      <w:sz w:val="22"/>
    </w:rPr>
  </w:style>
  <w:style w:type="character" w:customStyle="1" w:styleId="BaseNTok">
    <w:name w:val="BaseNTok"/>
    <w:basedOn w:val="VerbatimChar"/>
    <w:rPr>
      <w:rFonts w:ascii="Calibri" w:eastAsia="Calibri" w:hAnsi="Calibri"/>
      <w:color w:val="40A070"/>
      <w:sz w:val="22"/>
    </w:rPr>
  </w:style>
  <w:style w:type="character" w:customStyle="1" w:styleId="FloatTok">
    <w:name w:val="FloatTok"/>
    <w:basedOn w:val="VerbatimChar"/>
    <w:rPr>
      <w:rFonts w:ascii="Calibri" w:eastAsia="Calibri" w:hAnsi="Calibri"/>
      <w:color w:val="40A070"/>
      <w:sz w:val="22"/>
    </w:rPr>
  </w:style>
  <w:style w:type="character" w:customStyle="1" w:styleId="ConstantTok">
    <w:name w:val="ConstantTok"/>
    <w:basedOn w:val="VerbatimChar"/>
    <w:rPr>
      <w:rFonts w:ascii="Calibri" w:eastAsia="Calibri" w:hAnsi="Calibri"/>
      <w:color w:val="880000"/>
      <w:sz w:val="22"/>
    </w:rPr>
  </w:style>
  <w:style w:type="character" w:customStyle="1" w:styleId="CharTok">
    <w:name w:val="CharTok"/>
    <w:basedOn w:val="VerbatimChar"/>
    <w:rPr>
      <w:rFonts w:ascii="Calibri" w:eastAsia="Calibri" w:hAnsi="Calibri"/>
      <w:color w:val="4070A0"/>
      <w:sz w:val="22"/>
    </w:rPr>
  </w:style>
  <w:style w:type="character" w:customStyle="1" w:styleId="SpecialCharTok">
    <w:name w:val="SpecialCharTok"/>
    <w:basedOn w:val="VerbatimChar"/>
    <w:rPr>
      <w:rFonts w:ascii="Calibri" w:eastAsia="Calibri" w:hAnsi="Calibri"/>
      <w:color w:val="4070A0"/>
      <w:sz w:val="22"/>
    </w:rPr>
  </w:style>
  <w:style w:type="character" w:customStyle="1" w:styleId="StringTok">
    <w:name w:val="StringTok"/>
    <w:basedOn w:val="VerbatimChar"/>
    <w:rPr>
      <w:rFonts w:ascii="Calibri" w:eastAsia="Calibri" w:hAnsi="Calibri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alibri" w:eastAsia="Calibri" w:hAnsi="Calibri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alibri" w:eastAsia="Calibri" w:hAnsi="Calibri"/>
      <w:color w:val="BB6688"/>
      <w:sz w:val="22"/>
    </w:rPr>
  </w:style>
  <w:style w:type="character" w:customStyle="1" w:styleId="ImportTok">
    <w:name w:val="ImportTok"/>
    <w:basedOn w:val="VerbatimChar"/>
    <w:rPr>
      <w:rFonts w:ascii="Calibri" w:eastAsia="Calibri" w:hAnsi="Calibri"/>
      <w:sz w:val="22"/>
    </w:rPr>
  </w:style>
  <w:style w:type="character" w:customStyle="1" w:styleId="CommentTok">
    <w:name w:val="CommentTok"/>
    <w:basedOn w:val="VerbatimChar"/>
    <w:rPr>
      <w:rFonts w:ascii="Calibri" w:eastAsia="Calibri" w:hAnsi="Calibri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alibri" w:eastAsia="Calibri" w:hAnsi="Calibri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alibri" w:eastAsia="Calibri" w:hAnsi="Calibri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alibri" w:eastAsia="Calibri" w:hAnsi="Calibri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alibri" w:eastAsia="Calibri" w:hAnsi="Calibri"/>
      <w:color w:val="007020"/>
      <w:sz w:val="22"/>
    </w:rPr>
  </w:style>
  <w:style w:type="character" w:customStyle="1" w:styleId="FunctionTok">
    <w:name w:val="FunctionTok"/>
    <w:basedOn w:val="VerbatimChar"/>
    <w:rPr>
      <w:rFonts w:ascii="Calibri" w:eastAsia="Calibri" w:hAnsi="Calibri"/>
      <w:color w:val="06287E"/>
      <w:sz w:val="22"/>
    </w:rPr>
  </w:style>
  <w:style w:type="character" w:customStyle="1" w:styleId="VariableTok">
    <w:name w:val="VariableTok"/>
    <w:basedOn w:val="VerbatimChar"/>
    <w:rPr>
      <w:rFonts w:ascii="Calibri" w:eastAsia="Calibri" w:hAnsi="Calibri"/>
      <w:color w:val="19177C"/>
      <w:sz w:val="22"/>
    </w:rPr>
  </w:style>
  <w:style w:type="character" w:customStyle="1" w:styleId="ControlFlowTok">
    <w:name w:val="ControlFlowTok"/>
    <w:basedOn w:val="VerbatimChar"/>
    <w:rPr>
      <w:rFonts w:ascii="Calibri" w:eastAsia="Calibri" w:hAnsi="Calibri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alibri" w:eastAsia="Calibri" w:hAnsi="Calibri"/>
      <w:color w:val="666666"/>
      <w:sz w:val="22"/>
    </w:rPr>
  </w:style>
  <w:style w:type="character" w:customStyle="1" w:styleId="BuiltInTok">
    <w:name w:val="BuiltInTok"/>
    <w:basedOn w:val="VerbatimChar"/>
    <w:rPr>
      <w:rFonts w:ascii="Calibri" w:eastAsia="Calibri" w:hAnsi="Calibri"/>
      <w:sz w:val="22"/>
    </w:rPr>
  </w:style>
  <w:style w:type="character" w:customStyle="1" w:styleId="ExtensionTok">
    <w:name w:val="ExtensionTok"/>
    <w:basedOn w:val="VerbatimChar"/>
    <w:rPr>
      <w:rFonts w:ascii="Calibri" w:eastAsia="Calibri" w:hAnsi="Calibri"/>
      <w:sz w:val="22"/>
    </w:rPr>
  </w:style>
  <w:style w:type="character" w:customStyle="1" w:styleId="PreprocessorTok">
    <w:name w:val="PreprocessorTok"/>
    <w:basedOn w:val="VerbatimChar"/>
    <w:rPr>
      <w:rFonts w:ascii="Calibri" w:eastAsia="Calibri" w:hAnsi="Calibri"/>
      <w:color w:val="BC7A00"/>
      <w:sz w:val="22"/>
    </w:rPr>
  </w:style>
  <w:style w:type="character" w:customStyle="1" w:styleId="AttributeTok">
    <w:name w:val="AttributeTok"/>
    <w:basedOn w:val="VerbatimChar"/>
    <w:rPr>
      <w:rFonts w:ascii="Calibri" w:eastAsia="Calibri" w:hAnsi="Calibri"/>
      <w:color w:val="7D9029"/>
      <w:sz w:val="22"/>
    </w:rPr>
  </w:style>
  <w:style w:type="character" w:customStyle="1" w:styleId="RegionMarkerTok">
    <w:name w:val="RegionMarkerTok"/>
    <w:basedOn w:val="VerbatimChar"/>
    <w:rPr>
      <w:rFonts w:ascii="Calibri" w:eastAsia="Calibri" w:hAnsi="Calibri"/>
      <w:sz w:val="22"/>
    </w:rPr>
  </w:style>
  <w:style w:type="character" w:customStyle="1" w:styleId="InformationTok">
    <w:name w:val="InformationTok"/>
    <w:basedOn w:val="VerbatimChar"/>
    <w:rPr>
      <w:rFonts w:ascii="Calibri" w:eastAsia="Calibri" w:hAnsi="Calibri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alibri" w:eastAsia="Calibri" w:hAnsi="Calibri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alibri" w:eastAsia="Calibri" w:hAnsi="Calibri"/>
      <w:b/>
      <w:color w:val="FF0000"/>
      <w:sz w:val="22"/>
    </w:rPr>
  </w:style>
  <w:style w:type="character" w:customStyle="1" w:styleId="ErrorTok">
    <w:name w:val="ErrorTok"/>
    <w:basedOn w:val="VerbatimChar"/>
    <w:rPr>
      <w:rFonts w:ascii="Calibri" w:eastAsia="Calibri" w:hAnsi="Calibri"/>
      <w:b/>
      <w:color w:val="FF0000"/>
      <w:sz w:val="22"/>
    </w:rPr>
  </w:style>
  <w:style w:type="character" w:customStyle="1" w:styleId="NormalTok">
    <w:name w:val="NormalTok"/>
    <w:basedOn w:val="VerbatimChar"/>
    <w:rPr>
      <w:rFonts w:ascii="Calibri" w:eastAsia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Objectives</dc:title>
  <dc:creator/>
  <cp:keywords/>
  <cp:lastModifiedBy>R SAI PRANAV</cp:lastModifiedBy>
  <cp:revision>2</cp:revision>
  <dcterms:created xsi:type="dcterms:W3CDTF">2026-10-23T20:07:00Z</dcterms:created>
  <dcterms:modified xsi:type="dcterms:W3CDTF">2026-10-23T20:09:00Z</dcterms:modified>
  <dc:language>en</dc:language>
</cp:coreProperties>
</file>