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project-objectives"/>
    <w:p>
      <w:pPr>
        <w:pStyle w:val="Heading1"/>
      </w:pPr>
      <w:r>
        <w:rPr>
          <w:b/>
          <w:sz w:val="32"/>
        </w:rPr>
        <w:t xml:space="preserve">PROJECT OBJECTIVES</w:t>
      </w:r>
    </w:p>
    <w:p>
      <w:pPr>
        <w:pStyle w:val="FirstParagraph"/>
      </w:pPr>
      <w:r>
        <w:rPr>
          <w:bCs/>
          <w:b/>
          <w:sz w:val="22"/>
        </w:rPr>
        <w:t xml:space="preserve">REVA Internship Opportunities (RIO)</w:t>
      </w:r>
      <w:r>
        <w:rPr>
          <w:sz w:val="22"/>
        </w:rPr>
        <w:t xml:space="preserve"> </w:t>
      </w:r>
      <w:r>
        <w:rPr>
          <w:sz w:val="22"/>
        </w:rPr>
        <w:t xml:space="preserve">| School of Computer Science and Engineering, REVA University, Bengaluru</w:t>
      </w:r>
    </w:p>
    <w:tbl>
      <w:tblPr>
        <w:tblStyle w:val="Table"/>
        <w:tblW w:type="pct" w:w="0.0"/>
        <w:tblLayout w:type="autofit"/>
        <w:tblLook w:firstRow="0" w:lastRow="0" w:firstColumn="0" w:lastColumn="0" w:noHBand="0" w:noVBand="0" w:val="000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Particulars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Project Objectives, derived from Section 3 (Literature Gaps) of the Literature Survey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Name of Student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R Sai Pranav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University Seat Number (USN)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R23EM069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Project Title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ForgeGuard: An AI-Based Document Forgery Detection and Verification System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Track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PS 109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Faculty Guide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Mala B 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Date of Submission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22 October 2026</w:t>
            </w:r>
          </w:p>
        </w:tc>
      </w:tr>
    </w:tbl>
    <w:bookmarkStart w:id="20" w:name="introduction"/>
    <w:p>
      <w:pPr>
        <w:pStyle w:val="Heading2"/>
        <w:spacing w:before="200"/>
      </w:pPr>
      <w:r>
        <w:rPr>
          <w:b/>
          <w:sz w:val="26"/>
        </w:rPr>
        <w:t xml:space="preserve">1. Introduction</w:t>
      </w:r>
    </w:p>
    <w:p>
      <w:pPr>
        <w:pStyle w:val="FirstParagraph"/>
      </w:pPr>
      <w:r>
        <w:rPr>
          <w:bCs/>
          <w:b/>
          <w:sz w:val="22"/>
        </w:rPr>
        <w:t xml:space="preserve">1.1 Purpose.</w:t>
      </w:r>
      <w:r>
        <w:rPr>
          <w:sz w:val="22"/>
        </w:rPr>
        <w:t xml:space="preserve"> </w:t>
      </w:r>
      <w:r>
        <w:rPr>
          <w:sz w:val="22"/>
        </w:rPr>
        <w:t xml:space="preserve">This document converts the nine literature gaps identified in Section 3 of the Literature Survey and Requirement Analysis Report into a fixed set of project objectives. Each objective names the gap it closes and the requirement identifiers (Section 4 of that report) through which it is implemented, so objectives, requirements and the System Design Document all trace against the same identifiers.</w:t>
      </w:r>
    </w:p>
    <w:p>
      <w:pPr>
        <w:pStyle w:val="BodyText"/>
      </w:pPr>
      <w:r>
        <w:rPr>
          <w:bCs/>
          <w:b/>
          <w:sz w:val="22"/>
        </w:rPr>
        <w:t xml:space="preserve">1.2 Primary objective.</w:t>
      </w:r>
      <w:r>
        <w:rPr>
          <w:sz w:val="22"/>
        </w:rPr>
        <w:t xml:space="preserve"> </w:t>
      </w:r>
      <w:r>
        <w:rPr>
          <w:sz w:val="22"/>
        </w:rPr>
        <w:t xml:space="preserve">To build ForgeGuard, a system that accepts a scanned or photographed document and returns an explainable, evidence-based authenticity decision — by combining signature verification, pixel-level tamper localisation, OCR/field validation and a fused authenticity score — rather than a single opaque genuine/forged label.</w:t>
      </w:r>
    </w:p>
    <w:bookmarkEnd w:id="20"/>
    <w:bookmarkStart w:id="21" w:name="Xaca702dbd0c5ed95d1677b40072317e394b993f"/>
    <w:p>
      <w:pPr>
        <w:pStyle w:val="Heading2"/>
        <w:spacing w:before="200"/>
      </w:pPr>
      <w:r>
        <w:rPr>
          <w:b/>
          <w:sz w:val="26"/>
        </w:rPr>
        <w:t xml:space="preserve">2. Objectives Derived from the Literature Gaps</w:t>
      </w:r>
    </w:p>
    <w:p>
      <w:pPr>
        <w:pStyle w:val="FirstParagraph"/>
      </w:pPr>
      <w:r>
        <w:rPr>
          <w:sz w:val="22"/>
        </w:rPr>
        <w:t xml:space="preserve">Each objective below is numbered O1–O9 to match Gap 1–Gap 9 in the Literature Survey Report.</w:t>
      </w:r>
    </w:p>
    <w:tbl>
      <w:tblPr>
        <w:tblStyle w:val="Table"/>
        <w:tblW w:type="pct" w:w="0.0"/>
        <w:tblLayout w:type="autofit"/>
        <w:tblLook w:firstRow="0" w:lastRow="0" w:firstColumn="0" w:lastColumn="0" w:noHBand="0" w:noVBand="0" w:val="000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  <w:sz w:val="20"/>
              </w:rP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  <w:sz w:val="20"/>
              </w:rPr>
              <w:t xml:space="preserve">Objective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  <w:sz w:val="20"/>
              </w:rPr>
              <w:t xml:space="preserve">Closes / Implemented via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O1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Detect and clean the signature region directly on the uploaded page, instead of assuming a pre-cropped, clean signature image.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Gap 1 → FR-S1, FR-S2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O2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Verify a questioned signature against 1–5 stored references using a writer-independent similarity model, so a new signer can be verified with no retraining.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Gap 2 → FR-S3, NFR-6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O3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Train and evaluate tamper localisation on document images (not natural photographs), producing a pixel-level mask rather than a whole-image label.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Gap 3 → FR-D1, FR-D2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O4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Reduce reliance on JPEG/compression artefacts by fusing a noise-residual (SRM) stream with a semantic RGB stream, using ELA only as one supporting signal.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Gap 4 → FR-D1, FR-D2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O5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Fuse visual, signature and OCR/arithmetic evidence into a single authenticity score, so forgeries invisible to any one modality are still caught.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Gap 5 → FR-D3, FR-D4, FR-D5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O6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Make every decision explainable to a non-expert verifier: a 0–100 score, a label, a heatmap, per-check sub-scores and a plain-language reason.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Gap 6 → FR-D5, FR-D6, NFR-4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O7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Evaluate every model with precision, recall, F1 and AUC on held-out data, and handle class imbalance explicitly, rather than quoting accuracy alone on small datasets.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Gap 7 → NFR-5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O8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Keep each detector behind a fixed, replaceable interface, so an anomaly detector or a newer model for an unseen forgery type can be added later without redesigning the pipeline.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Gap 8 → NFR-7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O9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Maintain a tamper-evident, append-only audit record (document hash plus result) for every verification, so the system's own decisions stay checkable — and the design stays ready for blockchain anchoring in Phase 2.</w:t>
            </w:r>
          </w:p>
        </w:tc>
        <w:tc>
          <w:p>
            <w:pPr>
              <w:pStyle w:val="Compact"/>
              <w:jc w:val="left"/>
            </w:pPr>
            <w:r>
              <w:rPr>
                <w:sz w:val="20"/>
              </w:rPr>
              <w:t xml:space="preserve">Gap 9 → FR-P2, FR-A3, NFR-8</w:t>
            </w:r>
          </w:p>
        </w:tc>
      </w:tr>
    </w:tbl>
    <w:bookmarkEnd w:id="21"/>
    <w:bookmarkStart w:id="22" w:name="scope-boundary"/>
    <w:p>
      <w:pPr>
        <w:pStyle w:val="Heading2"/>
        <w:spacing w:before="200"/>
      </w:pPr>
      <w:r>
        <w:rPr>
          <w:b/>
          <w:sz w:val="26"/>
        </w:rPr>
        <w:t xml:space="preserve">3. Scope Boundary</w:t>
      </w:r>
    </w:p>
    <w:p>
      <w:pPr>
        <w:pStyle w:val="FirstParagraph"/>
      </w:pPr>
      <w:r>
        <w:rPr>
          <w:sz w:val="22"/>
        </w:rPr>
        <w:t xml:space="preserve">Objectives O1–O9 define Phase 1 and are the ones the System Design Document implements. Two items raised by the survey are explicitly out of scope for Phase 1: full blockchain anchoring of the document hash (papers [50], [51]) and hyperspectral ink analysis (paper [45]), both of which need hardware or infrastructure beyond a single web service. O9 keeps the design ready for the former by storing the hash now.</w:t>
      </w:r>
    </w:p>
    <w:bookmarkEnd w:id="22"/>
    <w:bookmarkStart w:id="23" w:name="conclusion"/>
    <w:p>
      <w:pPr>
        <w:pStyle w:val="Heading2"/>
        <w:spacing w:before="200"/>
      </w:pPr>
      <w:r>
        <w:rPr>
          <w:b/>
          <w:sz w:val="26"/>
        </w:rPr>
        <w:t xml:space="preserve">4. Conclusion</w:t>
      </w:r>
    </w:p>
    <w:p>
      <w:pPr>
        <w:pStyle w:val="FirstParagraph"/>
      </w:pPr>
      <w:r>
        <w:rPr>
          <w:sz w:val="22"/>
        </w:rPr>
        <w:t xml:space="preserve">These nine objectives are exhaustive with respect to the gaps found in the survey: every gap in Section 3 maps to exactly one objective, and every objective maps to the requirement identifiers carried into the System Design Document. No objective is added without a corresponding gap, and no gap is left without an objective.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eastAsia="Calibri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eastAsia="Calibri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eastAsia="Calibr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eastAsia="Calib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eastAsia="Calibri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rFonts w:ascii="Calibri" w:hAnsi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eastAsia="Calibri"/>
    </w:rPr>
  </w:style>
  <w:style w:default="1" w:styleId="DefaultParagraphFont" w:type="character">
    <w:name w:val="Default Paragraph Font"/>
    <w:semiHidden/>
    <w:unhideWhenUsed/>
    <w:rPr>
      <w:rFonts w:ascii="Calibri" w:hAnsi="Calibri" w:eastAsia="Calibri"/>
    </w:rPr>
  </w:style>
  <w:style w:default="1" w:styleId="Table" w:type="table">
    <w:name w:val="Table"/>
    <w:basedOn w:val="TableNormal"/>
    <w:semiHidden/>
    <w:unhideWhenUsed/>
    <w:qFormat/>
    <w:rPr>
      <w:rFonts w:ascii="Calibri" w:hAnsi="Calibri" w:eastAsia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eastAsia="Calibri"/>
      <w:b/>
    </w:rPr>
  </w:style>
  <w:style w:customStyle="1" w:styleId="Definition" w:type="paragraph">
    <w:name w:val="Definition"/>
    <w:basedOn w:val="Normal"/>
    <w:rPr>
      <w:rFonts w:ascii="Calibri" w:hAnsi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eastAsia="Calibri"/>
    </w:rPr>
  </w:style>
  <w:style w:customStyle="1" w:styleId="ImageCaption" w:type="paragraph">
    <w:name w:val="Image Caption"/>
    <w:basedOn w:val="Caption"/>
    <w:rPr>
      <w:rFonts w:ascii="Calibri" w:hAnsi="Calibri" w:eastAsia="Calibri"/>
    </w:rPr>
  </w:style>
  <w:style w:customStyle="1" w:styleId="Figure" w:type="paragraph">
    <w:name w:val="Figure"/>
    <w:basedOn w:val="Normal"/>
    <w:rPr>
      <w:rFonts w:ascii="Calibri" w:hAnsi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eastAsia="Calibri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 w:eastAsia="Calibri"/>
    </w:rPr>
  </w:style>
  <w:style w:customStyle="1" w:styleId="VerbatimChar" w:type="character">
    <w:name w:val="Verbatim Char"/>
    <w:basedOn w:val="BodyTextChar"/>
    <w:rPr>
      <w:rFonts w:ascii="Calibri" w:hAnsi="Calibri" w:eastAsia="Calibri"/>
      <w:sz w:val="22"/>
    </w:rPr>
  </w:style>
  <w:style w:customStyle="1" w:styleId="SectionNumber" w:type="character">
    <w:name w:val="Section Number"/>
    <w:basedOn w:val="BodyTextChar"/>
    <w:rPr>
      <w:rFonts w:ascii="Calibri" w:hAnsi="Calibri" w:eastAsia="Calibri"/>
    </w:rPr>
  </w:style>
  <w:style w:styleId="FootnoteReference" w:type="character">
    <w:name w:val="Footnote Reference"/>
    <w:basedOn w:val="BodyTextChar"/>
    <w:rPr>
      <w:rFonts w:ascii="Calibri" w:hAnsi="Calibri" w:eastAsia="Calibri"/>
      <w:vertAlign w:val="superscript"/>
    </w:rPr>
  </w:style>
  <w:style w:styleId="Hyperlink" w:type="character">
    <w:name w:val="Hyperlink"/>
    <w:basedOn w:val="BodyTextChar"/>
    <w:rPr>
      <w:rFonts w:ascii="Calibri" w:hAnsi="Calibri" w:eastAsia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eastAsia="Calibri"/>
    </w:rPr>
  </w:style>
  <w:style w:type="character" w:customStyle="1" w:styleId="KeywordTok">
    <w:name w:val="KeywordTok"/>
    <w:basedOn w:val="VerbatimChar"/>
    <w:rPr>
      <w:color w:val="007020"/>
      <w:rFonts w:ascii="Calibri" w:hAnsi="Calibri" w:eastAsia="Calibri"/>
      <w:b/>
    </w:rPr>
  </w:style>
  <w:style w:type="character" w:customStyle="1" w:styleId="DataTypeTok">
    <w:name w:val="DataTypeTok"/>
    <w:basedOn w:val="VerbatimChar"/>
    <w:rPr>
      <w:rFonts w:ascii="Calibri" w:hAnsi="Calibri" w:eastAsia="Calibri"/>
      <w:color w:val="902000"/>
    </w:rPr>
  </w:style>
  <w:style w:type="character" w:customStyle="1" w:styleId="DecValTok">
    <w:name w:val="DecValTok"/>
    <w:basedOn w:val="VerbatimChar"/>
    <w:rPr>
      <w:rFonts w:ascii="Calibri" w:hAnsi="Calibri" w:eastAsia="Calibri"/>
      <w:color w:val="40a070"/>
    </w:rPr>
  </w:style>
  <w:style w:type="character" w:customStyle="1" w:styleId="BaseNTok">
    <w:name w:val="BaseNTok"/>
    <w:basedOn w:val="VerbatimChar"/>
    <w:rPr>
      <w:rFonts w:ascii="Calibri" w:hAnsi="Calibri" w:eastAsia="Calibri"/>
      <w:color w:val="40a070"/>
    </w:rPr>
  </w:style>
  <w:style w:type="character" w:customStyle="1" w:styleId="FloatTok">
    <w:name w:val="FloatTok"/>
    <w:basedOn w:val="VerbatimChar"/>
    <w:rPr>
      <w:rFonts w:ascii="Calibri" w:hAnsi="Calibri" w:eastAsia="Calibri"/>
      <w:color w:val="40a070"/>
    </w:rPr>
  </w:style>
  <w:style w:type="character" w:customStyle="1" w:styleId="ConstantTok">
    <w:name w:val="ConstantTok"/>
    <w:basedOn w:val="VerbatimChar"/>
    <w:rPr>
      <w:rFonts w:ascii="Calibri" w:hAnsi="Calibri" w:eastAsia="Calibri"/>
      <w:color w:val="880000"/>
    </w:rPr>
  </w:style>
  <w:style w:type="character" w:customStyle="1" w:styleId="CharTok">
    <w:name w:val="CharTok"/>
    <w:basedOn w:val="VerbatimChar"/>
    <w:rPr>
      <w:rFonts w:ascii="Calibri" w:hAnsi="Calibri" w:eastAsia="Calibri"/>
      <w:color w:val="4070a0"/>
    </w:rPr>
  </w:style>
  <w:style w:type="character" w:customStyle="1" w:styleId="SpecialCharTok">
    <w:name w:val="SpecialCharTok"/>
    <w:basedOn w:val="VerbatimChar"/>
    <w:rPr>
      <w:rFonts w:ascii="Calibri" w:hAnsi="Calibri" w:eastAsia="Calibri"/>
      <w:color w:val="4070a0"/>
    </w:rPr>
  </w:style>
  <w:style w:type="character" w:customStyle="1" w:styleId="StringTok">
    <w:name w:val="StringTok"/>
    <w:basedOn w:val="VerbatimChar"/>
    <w:rPr>
      <w:rFonts w:ascii="Calibri" w:hAnsi="Calibri" w:eastAsia="Calibri"/>
      <w:color w:val="4070a0"/>
    </w:rPr>
  </w:style>
  <w:style w:type="character" w:customStyle="1" w:styleId="VerbatimStringTok">
    <w:name w:val="VerbatimStringTok"/>
    <w:basedOn w:val="VerbatimChar"/>
    <w:rPr>
      <w:rFonts w:ascii="Calibri" w:hAnsi="Calibri" w:eastAsia="Calibri"/>
      <w:color w:val="4070a0"/>
    </w:rPr>
  </w:style>
  <w:style w:type="character" w:customStyle="1" w:styleId="SpecialStringTok">
    <w:name w:val="SpecialStringTok"/>
    <w:basedOn w:val="VerbatimChar"/>
    <w:rPr>
      <w:rFonts w:ascii="Calibri" w:hAnsi="Calibri" w:eastAsia="Calibri"/>
      <w:color w:val="bb6688"/>
    </w:rPr>
  </w:style>
  <w:style w:type="character" w:customStyle="1" w:styleId="ImportTok">
    <w:name w:val="ImportTok"/>
    <w:basedOn w:val="VerbatimChar"/>
    <w:rPr>
      <w:rFonts w:ascii="Calibri" w:hAnsi="Calibri" w:eastAsia="Calibri"/>
    </w:rPr>
  </w:style>
  <w:style w:type="character" w:customStyle="1" w:styleId="CommentTok">
    <w:name w:val="CommentTok"/>
    <w:basedOn w:val="VerbatimChar"/>
    <w:rPr>
      <w:color w:val="60a0b0"/>
      <w:rFonts w:ascii="Calibri" w:hAnsi="Calibri" w:eastAsia="Calibri"/>
      <w:i/>
    </w:rPr>
  </w:style>
  <w:style w:type="character" w:customStyle="1" w:styleId="DocumentationTok">
    <w:name w:val="DocumentationTok"/>
    <w:basedOn w:val="VerbatimChar"/>
    <w:rPr>
      <w:color w:val="ba2121"/>
      <w:rFonts w:ascii="Calibri" w:hAnsi="Calibri" w:eastAsia="Calibri"/>
      <w:i/>
    </w:rPr>
  </w:style>
  <w:style w:type="character" w:customStyle="1" w:styleId="AnnotationTok">
    <w:name w:val="AnnotationTok"/>
    <w:basedOn w:val="VerbatimChar"/>
    <w:rPr>
      <w:color w:val="60a0b0"/>
      <w:rFonts w:ascii="Calibri" w:hAnsi="Calibri" w:eastAsia="Calibri"/>
      <w:b/>
      <w:i/>
    </w:rPr>
  </w:style>
  <w:style w:type="character" w:customStyle="1" w:styleId="CommentVarTok">
    <w:name w:val="CommentVarTok"/>
    <w:basedOn w:val="VerbatimChar"/>
    <w:rPr>
      <w:color w:val="60a0b0"/>
      <w:rFonts w:ascii="Calibri" w:hAnsi="Calibri" w:eastAsia="Calibri"/>
      <w:b/>
      <w:i/>
    </w:rPr>
  </w:style>
  <w:style w:type="character" w:customStyle="1" w:styleId="OtherTok">
    <w:name w:val="OtherTok"/>
    <w:basedOn w:val="VerbatimChar"/>
    <w:rPr>
      <w:rFonts w:ascii="Calibri" w:hAnsi="Calibri" w:eastAsia="Calibri"/>
      <w:color w:val="007020"/>
    </w:rPr>
  </w:style>
  <w:style w:type="character" w:customStyle="1" w:styleId="FunctionTok">
    <w:name w:val="FunctionTok"/>
    <w:basedOn w:val="VerbatimChar"/>
    <w:rPr>
      <w:rFonts w:ascii="Calibri" w:hAnsi="Calibri" w:eastAsia="Calibri"/>
      <w:color w:val="06287e"/>
    </w:rPr>
  </w:style>
  <w:style w:type="character" w:customStyle="1" w:styleId="VariableTok">
    <w:name w:val="VariableTok"/>
    <w:basedOn w:val="VerbatimChar"/>
    <w:rPr>
      <w:rFonts w:ascii="Calibri" w:hAnsi="Calibri" w:eastAsia="Calibr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Calibri" w:hAnsi="Calibri" w:eastAsia="Calibri"/>
      <w:b/>
    </w:rPr>
  </w:style>
  <w:style w:type="character" w:customStyle="1" w:styleId="OperatorTok">
    <w:name w:val="OperatorTok"/>
    <w:basedOn w:val="VerbatimChar"/>
    <w:rPr>
      <w:rFonts w:ascii="Calibri" w:hAnsi="Calibri" w:eastAsia="Calibri"/>
      <w:color w:val="666666"/>
    </w:rPr>
  </w:style>
  <w:style w:type="character" w:customStyle="1" w:styleId="BuiltInTok">
    <w:name w:val="BuiltInTok"/>
    <w:basedOn w:val="VerbatimChar"/>
    <w:rPr>
      <w:rFonts w:ascii="Calibri" w:hAnsi="Calibri" w:eastAsia="Calibri"/>
    </w:rPr>
  </w:style>
  <w:style w:type="character" w:customStyle="1" w:styleId="ExtensionTok">
    <w:name w:val="ExtensionTok"/>
    <w:basedOn w:val="VerbatimChar"/>
    <w:rPr>
      <w:rFonts w:ascii="Calibri" w:hAnsi="Calibri" w:eastAsia="Calibri"/>
    </w:rPr>
  </w:style>
  <w:style w:type="character" w:customStyle="1" w:styleId="PreprocessorTok">
    <w:name w:val="PreprocessorTok"/>
    <w:basedOn w:val="VerbatimChar"/>
    <w:rPr>
      <w:rFonts w:ascii="Calibri" w:hAnsi="Calibri" w:eastAsia="Calibri"/>
      <w:color w:val="bc7a00"/>
    </w:rPr>
  </w:style>
  <w:style w:type="character" w:customStyle="1" w:styleId="AttributeTok">
    <w:name w:val="AttributeTok"/>
    <w:basedOn w:val="VerbatimChar"/>
    <w:rPr>
      <w:rFonts w:ascii="Calibri" w:hAnsi="Calibri" w:eastAsia="Calibri"/>
      <w:color w:val="7d9029"/>
    </w:rPr>
  </w:style>
  <w:style w:type="character" w:customStyle="1" w:styleId="RegionMarkerTok">
    <w:name w:val="RegionMarkerTok"/>
    <w:basedOn w:val="VerbatimChar"/>
    <w:rPr>
      <w:rFonts w:ascii="Calibri" w:hAnsi="Calibri" w:eastAsia="Calibri"/>
    </w:rPr>
  </w:style>
  <w:style w:type="character" w:customStyle="1" w:styleId="InformationTok">
    <w:name w:val="InformationTok"/>
    <w:basedOn w:val="VerbatimChar"/>
    <w:rPr>
      <w:color w:val="60a0b0"/>
      <w:rFonts w:ascii="Calibri" w:hAnsi="Calibri" w:eastAsia="Calibri"/>
      <w:b/>
      <w:i/>
    </w:rPr>
  </w:style>
  <w:style w:type="character" w:customStyle="1" w:styleId="WarningTok">
    <w:name w:val="WarningTok"/>
    <w:basedOn w:val="VerbatimChar"/>
    <w:rPr>
      <w:color w:val="60a0b0"/>
      <w:rFonts w:ascii="Calibri" w:hAnsi="Calibri" w:eastAsia="Calibri"/>
      <w:b/>
      <w:i/>
    </w:rPr>
  </w:style>
  <w:style w:type="character" w:customStyle="1" w:styleId="AlertTok">
    <w:name w:val="AlertTok"/>
    <w:basedOn w:val="VerbatimChar"/>
    <w:rPr>
      <w:color w:val="ff0000"/>
      <w:rFonts w:ascii="Calibri" w:hAnsi="Calibri" w:eastAsia="Calibri"/>
      <w:b/>
    </w:rPr>
  </w:style>
  <w:style w:type="character" w:customStyle="1" w:styleId="ErrorTok">
    <w:name w:val="ErrorTok"/>
    <w:basedOn w:val="VerbatimChar"/>
    <w:rPr>
      <w:color w:val="ff0000"/>
      <w:rFonts w:ascii="Calibri" w:hAnsi="Calibri" w:eastAsia="Calibri"/>
      <w:b/>
    </w:rPr>
  </w:style>
  <w:style w:type="character" w:customStyle="1" w:styleId="NormalTok">
    <w:name w:val="NormalTok"/>
    <w:basedOn w:val="VerbatimChar"/>
    <w:rPr>
      <w:rFonts w:ascii="Calibri" w:hAnsi="Calibri" w:eastAsia="Calibr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Objectives</dc:title>
  <dc:creator/>
  <dc:language>en</dc:language>
  <cp:keywords/>
  <dcterms:created xsi:type="dcterms:W3CDTF">2026-10-23T20:07:19Z</dcterms:created>
  <dcterms:modified xsi:type="dcterms:W3CDTF">2026-10-23T20:07:19Z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