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1A1A2E"/>
          <w:sz w:val="32"/>
        </w:rPr>
        <w:t>PROJECT EXECUTIVE SUMMARY</w:t>
      </w:r>
    </w:p>
    <w:p>
      <w:pPr>
        <w:spacing w:after="80"/>
        <w:jc w:val="center"/>
      </w:pPr>
      <w:r>
        <w:rPr>
          <w:rFonts w:ascii="Calibri" w:hAnsi="Calibri"/>
          <w:b/>
          <w:color w:val="1E5AA0"/>
          <w:sz w:val="24"/>
        </w:rPr>
        <w:t>HERB-Vault — Blockchain-Based Ayurvedic Herb Traceability System</w:t>
      </w:r>
    </w:p>
    <w:p>
      <w:pPr>
        <w:pBdr>
          <w:bottom w:val="single" w:sz="6" w:space="1" w:color="1a1a2e"/>
        </w:pBdr>
        <w:spacing w:before="0" w:after="0"/>
      </w:pPr>
    </w:p>
    <w:tbl>
      <w:tblPr>
        <w:tblStyle w:val="TableGrid"/>
        <w:tblW w:type="auto" w:w="0"/>
        <w:jc w:val="center"/>
        <w:tblLook w:firstColumn="1" w:firstRow="1" w:lastColumn="0" w:lastRow="0" w:noHBand="0" w:noVBand="1" w:val="04A0"/>
      </w:tblPr>
      <w:tblGrid>
        <w:gridCol w:w="4703"/>
        <w:gridCol w:w="4703"/>
      </w:tblGrid>
      <w:tr>
        <w:tc>
          <w:tcPr>
            <w:tcW w:type="dxa" w:w="1984"/>
          </w:tcPr>
          <w:p>
            <w:r>
              <w:rPr>
                <w:rFonts w:ascii="Calibri" w:hAnsi="Calibri"/>
                <w:b/>
                <w:sz w:val="20"/>
              </w:rPr>
              <w:t>Course</w:t>
            </w:r>
          </w:p>
        </w:tc>
        <w:tc>
          <w:tcPr>
            <w:tcW w:type="dxa" w:w="7370"/>
          </w:tcPr>
          <w:p>
            <w:r>
              <w:rPr>
                <w:rFonts w:ascii="Calibri" w:hAnsi="Calibri"/>
                <w:sz w:val="20"/>
              </w:rPr>
              <w:t>Research-based Mini Project (APT) | Semester VI | 2025–26</w:t>
            </w:r>
          </w:p>
        </w:tc>
      </w:tr>
      <w:tr>
        <w:tc>
          <w:tcPr>
            <w:tcW w:type="dxa" w:w="1984"/>
          </w:tcPr>
          <w:p>
            <w:r>
              <w:rPr>
                <w:rFonts w:ascii="Calibri" w:hAnsi="Calibri"/>
                <w:b/>
                <w:sz w:val="20"/>
              </w:rPr>
              <w:t>School</w:t>
            </w:r>
          </w:p>
        </w:tc>
        <w:tc>
          <w:tcPr>
            <w:tcW w:type="dxa" w:w="7370"/>
          </w:tcPr>
          <w:p>
            <w:r>
              <w:rPr>
                <w:rFonts w:ascii="Calibri" w:hAnsi="Calibri"/>
                <w:sz w:val="20"/>
              </w:rPr>
              <w:t>School of Computer Science and Engineering</w:t>
            </w:r>
          </w:p>
        </w:tc>
      </w:tr>
      <w:tr>
        <w:tc>
          <w:tcPr>
            <w:tcW w:type="dxa" w:w="1984"/>
          </w:tcPr>
          <w:p>
            <w:r>
              <w:rPr>
                <w:rFonts w:ascii="Calibri" w:hAnsi="Calibri"/>
                <w:b/>
                <w:sz w:val="20"/>
              </w:rPr>
              <w:t>Team</w:t>
            </w:r>
          </w:p>
        </w:tc>
        <w:tc>
          <w:tcPr>
            <w:tcW w:type="dxa" w:w="7370"/>
          </w:tcPr>
          <w:p>
            <w:r>
              <w:rPr>
                <w:rFonts w:ascii="Calibri" w:hAnsi="Calibri"/>
                <w:sz w:val="20"/>
              </w:rPr>
              <w:t>Sai Pranav                          SRN: _______________</w:t>
            </w:r>
          </w:p>
        </w:tc>
      </w:tr>
    </w:tbl>
    <w:p>
      <w:pPr>
        <w:spacing w:after="40"/>
      </w:pPr>
    </w:p>
    <w:p>
      <w:pPr>
        <w:spacing w:before="200" w:after="60"/>
        <w:pBdr>
          <w:bottom w:val="single" w:sz="4" w:space="1" w:color="1E5AA0"/>
        </w:pBdr>
      </w:pPr>
      <w:r>
        <w:rPr>
          <w:rFonts w:ascii="Calibri" w:hAnsi="Calibri"/>
          <w:b/>
          <w:color w:val="1A1A2E"/>
          <w:sz w:val="22"/>
        </w:rPr>
        <w:t>1. PROBLEM STATEMENT</w:t>
      </w:r>
    </w:p>
    <w:p>
      <w:pPr>
        <w:spacing w:before="20" w:after="60"/>
      </w:pPr>
      <w:r>
        <w:rPr>
          <w:rFonts w:ascii="Calibri" w:hAnsi="Calibri"/>
          <w:b w:val="0"/>
          <w:sz w:val="21"/>
        </w:rPr>
        <w:t>India's Ayurvedic industry, valued at over ₹30,000 Crore, relies entirely on trust — trust that herbs are genuine, correctly identified, and sourced from the right geographic region. In reality, the supply chain is completely opaque, with herbs passing through multiple middlemen and no tamper-proof records at any stage. Three specific problems cause significant economic and public health damage:</w:t>
      </w:r>
    </w:p>
    <w:p>
      <w:pPr>
        <w:pStyle w:val="ListBullet"/>
        <w:spacing w:before="20" w:after="40"/>
        <w:ind w:left="283"/>
      </w:pPr>
      <w:r>
        <w:rPr>
          <w:rFonts w:ascii="Calibri" w:hAnsi="Calibri"/>
          <w:b/>
          <w:sz w:val="21"/>
        </w:rPr>
        <w:t xml:space="preserve">Adulteration — </w:t>
      </w:r>
      <w:r>
        <w:rPr>
          <w:rFonts w:ascii="Calibri" w:hAnsi="Calibri"/>
          <w:b w:val="0"/>
          <w:sz w:val="21"/>
        </w:rPr>
        <w:t>Cheaper or misidentified herbs are substituted and go undetected by end buyers.</w:t>
      </w:r>
    </w:p>
    <w:p>
      <w:pPr>
        <w:pStyle w:val="ListBullet"/>
        <w:spacing w:before="20" w:after="40"/>
        <w:ind w:left="283"/>
      </w:pPr>
      <w:r>
        <w:rPr>
          <w:rFonts w:ascii="Calibri" w:hAnsi="Calibri"/>
          <w:b/>
          <w:sz w:val="21"/>
        </w:rPr>
        <w:t xml:space="preserve">Geographic Fraud — </w:t>
      </w:r>
      <w:r>
        <w:rPr>
          <w:rFonts w:ascii="Calibri" w:hAnsi="Calibri"/>
          <w:b w:val="0"/>
          <w:sz w:val="21"/>
        </w:rPr>
        <w:t>Herbs derive potency from their native habitat (e.g., Ashwagandha from Rajasthan). Nothing currently enforces origin claims.</w:t>
      </w:r>
    </w:p>
    <w:p>
      <w:pPr>
        <w:pStyle w:val="ListBullet"/>
        <w:spacing w:before="20" w:after="40"/>
        <w:ind w:left="283"/>
      </w:pPr>
      <w:r>
        <w:rPr>
          <w:rFonts w:ascii="Calibri" w:hAnsi="Calibri"/>
          <w:b/>
          <w:sz w:val="21"/>
        </w:rPr>
        <w:t xml:space="preserve">Zero Traceability — </w:t>
      </w:r>
      <w:r>
        <w:rPr>
          <w:rFonts w:ascii="Calibri" w:hAnsi="Calibri"/>
          <w:b w:val="0"/>
          <w:sz w:val="21"/>
        </w:rPr>
        <w:t>When a product fails quality checks, there is no audit trail to locate the source of the problem.</w:t>
      </w:r>
    </w:p>
    <w:p>
      <w:pPr>
        <w:spacing w:before="20" w:after="60"/>
      </w:pPr>
      <w:r>
        <w:rPr>
          <w:rFonts w:ascii="Calibri" w:hAnsi="Calibri"/>
          <w:b w:val="0"/>
          <w:sz w:val="21"/>
        </w:rPr>
        <w:t>Regulatory bodies (AYUSH, FSSAI) lack digital infrastructure to audit at scale. Farmers cannot prove what they grow. Consumers cannot verify what they consume.</w:t>
      </w:r>
    </w:p>
    <w:p>
      <w:pPr>
        <w:spacing w:before="200" w:after="60"/>
        <w:pBdr>
          <w:bottom w:val="single" w:sz="4" w:space="1" w:color="1E5AA0"/>
        </w:pBdr>
      </w:pPr>
      <w:r>
        <w:rPr>
          <w:rFonts w:ascii="Calibri" w:hAnsi="Calibri"/>
          <w:b/>
          <w:color w:val="1A1A2E"/>
          <w:sz w:val="22"/>
        </w:rPr>
        <w:t>2. SOLUTION OVERVIEW</w:t>
      </w:r>
    </w:p>
    <w:p>
      <w:pPr>
        <w:spacing w:before="20" w:after="60"/>
      </w:pPr>
      <w:r>
        <w:rPr>
          <w:rFonts w:ascii="Calibri" w:hAnsi="Calibri"/>
          <w:b w:val="0"/>
          <w:sz w:val="21"/>
        </w:rPr>
        <w:t>HERB-Vault creates an unforgeable, end-to-end digital record for every herb batch — from field collection to finished product — using Hyperledger Fabric blockchain. Every stage of the supply chain (collection → processing → quality testing → product manufacturing) is recorded as an immutable blockchain transaction.</w:t>
      </w:r>
    </w:p>
    <w:p>
      <w:pPr>
        <w:spacing w:before="20" w:after="60"/>
      </w:pPr>
      <w:r>
        <w:rPr>
          <w:rFonts w:ascii="Calibri" w:hAnsi="Calibri"/>
          <w:b w:val="0"/>
          <w:sz w:val="21"/>
        </w:rPr>
        <w:t>The defining innovation is that GPS validation is performed inside the smart contract itself using the Haversine formula. If a collector claims to harvest Ashwagandha but their GPS coordinates fall outside the approved Rajasthan/MP zone, the blockchain rejects the transaction at the ledger level — no off-chain workaround is possible. A patent application has been filed for this mechanism.</w:t>
      </w:r>
    </w:p>
    <w:p>
      <w:pPr>
        <w:spacing w:before="200" w:after="60"/>
        <w:pBdr>
          <w:bottom w:val="single" w:sz="4" w:space="1" w:color="1E5AA0"/>
        </w:pBdr>
      </w:pPr>
      <w:r>
        <w:rPr>
          <w:rFonts w:ascii="Calibri" w:hAnsi="Calibri"/>
          <w:b/>
          <w:color w:val="1A1A2E"/>
          <w:sz w:val="22"/>
        </w:rPr>
        <w:t>SYSTEM ARCHITECTURE</w:t>
      </w:r>
    </w:p>
    <w:tbl>
      <w:tblPr>
        <w:tblStyle w:val="TableGrid"/>
        <w:tblW w:type="auto" w:w="0"/>
        <w:tblLook w:firstColumn="1" w:firstRow="1" w:lastColumn="0" w:lastRow="0" w:noHBand="0" w:noVBand="1" w:val="04A0"/>
      </w:tblPr>
      <w:tblGrid>
        <w:gridCol w:w="9406"/>
      </w:tblGrid>
      <w:tr>
        <w:tc>
          <w:tcPr>
            <w:tcW w:type="dxa" w:w="9406"/>
          </w:tcPr>
          <w:p>
            <w:pPr>
              <w:jc w:val="center"/>
            </w:pPr>
            <w:r>
              <w:rPr>
                <w:rFonts w:ascii="Courier New" w:hAnsi="Courier New"/>
                <w:color w:val="1E5AA0"/>
                <w:sz w:val="18"/>
              </w:rPr>
              <w:t>React Web Dashboard (Vercel)  +  React Native Mobile App (Offline-First)</w:t>
            </w:r>
          </w:p>
        </w:tc>
      </w:tr>
      <w:tr>
        <w:tc>
          <w:tcPr>
            <w:tcW w:type="dxa" w:w="9406"/>
          </w:tcPr>
          <w:p>
            <w:pPr>
              <w:jc w:val="center"/>
            </w:pPr>
            <w:r>
              <w:rPr>
                <w:rFonts w:ascii="Courier New" w:hAnsi="Courier New"/>
                <w:color w:val="505050"/>
                <w:sz w:val="18"/>
              </w:rPr>
              <w:t>↓  REST API (Axios / HTTP)</w:t>
            </w:r>
          </w:p>
        </w:tc>
      </w:tr>
      <w:tr>
        <w:tc>
          <w:tcPr>
            <w:tcW w:type="dxa" w:w="9406"/>
          </w:tcPr>
          <w:p>
            <w:pPr>
              <w:jc w:val="center"/>
            </w:pPr>
            <w:r>
              <w:rPr>
                <w:rFonts w:ascii="Courier New" w:hAnsi="Courier New"/>
                <w:color w:val="146E3C"/>
                <w:sz w:val="18"/>
              </w:rPr>
              <w:t>Python FastAPI Backend  —  JWT Auth, GPS Validation, QR Generation</w:t>
            </w:r>
          </w:p>
        </w:tc>
      </w:tr>
      <w:tr>
        <w:tc>
          <w:tcPr>
            <w:tcW w:type="dxa" w:w="9406"/>
          </w:tcPr>
          <w:p>
            <w:pPr>
              <w:jc w:val="center"/>
            </w:pPr>
            <w:r>
              <w:rPr>
                <w:rFonts w:ascii="Courier New" w:hAnsi="Courier New"/>
                <w:color w:val="505050"/>
                <w:sz w:val="18"/>
              </w:rPr>
              <w:t>↓  Fabric CLI subprocess</w:t>
            </w:r>
          </w:p>
        </w:tc>
      </w:tr>
      <w:tr>
        <w:tc>
          <w:tcPr>
            <w:tcW w:type="dxa" w:w="9406"/>
          </w:tcPr>
          <w:p>
            <w:pPr>
              <w:jc w:val="center"/>
            </w:pPr>
            <w:r>
              <w:rPr>
                <w:rFonts w:ascii="Courier New" w:hAnsi="Courier New"/>
                <w:color w:val="641E1E"/>
                <w:sz w:val="18"/>
              </w:rPr>
              <w:t>Hyperledger Fabric (herblock channel, 2 orgs, Raft)  +  MongoDB  +  CouchDB</w:t>
            </w:r>
          </w:p>
        </w:tc>
      </w:tr>
    </w:tbl>
    <w:p>
      <w:pPr>
        <w:spacing w:after="40"/>
      </w:pPr>
    </w:p>
    <w:p>
      <w:pPr>
        <w:spacing w:before="200" w:after="60"/>
        <w:pBdr>
          <w:bottom w:val="single" w:sz="4" w:space="1" w:color="1E5AA0"/>
        </w:pBdr>
      </w:pPr>
      <w:r>
        <w:rPr>
          <w:rFonts w:ascii="Calibri" w:hAnsi="Calibri"/>
          <w:b/>
          <w:color w:val="1A1A2E"/>
          <w:sz w:val="22"/>
        </w:rPr>
        <w:t>3. KEY FEATURES</w:t>
      </w:r>
    </w:p>
    <w:p>
      <w:pPr>
        <w:pStyle w:val="ListBullet"/>
        <w:spacing w:before="20" w:after="40"/>
        <w:ind w:left="283"/>
      </w:pPr>
      <w:r>
        <w:rPr>
          <w:rFonts w:ascii="Calibri" w:hAnsi="Calibri"/>
          <w:b/>
          <w:sz w:val="21"/>
        </w:rPr>
        <w:t xml:space="preserve">On-Chain GPS Validation — </w:t>
      </w:r>
      <w:r>
        <w:rPr>
          <w:rFonts w:ascii="Calibri" w:hAnsi="Calibri"/>
          <w:b w:val="0"/>
          <w:sz w:val="21"/>
        </w:rPr>
        <w:t>Herb GPS coordinates are validated inside Node.js chaincode using the Haversine formula. Geographic fraud is rejected at the blockchain level — immutable and bypass-proof. (Patent-Pending)</w:t>
      </w:r>
    </w:p>
    <w:p>
      <w:pPr>
        <w:pStyle w:val="ListBullet"/>
        <w:spacing w:before="20" w:after="40"/>
        <w:ind w:left="283"/>
      </w:pPr>
      <w:r>
        <w:rPr>
          <w:rFonts w:ascii="Calibri" w:hAnsi="Calibri"/>
          <w:b/>
          <w:sz w:val="21"/>
        </w:rPr>
        <w:t xml:space="preserve">Full Supply Chain Traceability — </w:t>
      </w:r>
      <w:r>
        <w:rPr>
          <w:rFonts w:ascii="Calibri" w:hAnsi="Calibri"/>
          <w:b w:val="0"/>
          <w:sz w:val="21"/>
        </w:rPr>
        <w:t>Six chaincode functions cover the full lifecycle: recordCollection, recordProcessing, recordQualityTest, recordProduct, getProductTrace, getHistory.</w:t>
      </w:r>
    </w:p>
    <w:p>
      <w:pPr>
        <w:pStyle w:val="ListBullet"/>
        <w:spacing w:before="20" w:after="40"/>
        <w:ind w:left="283"/>
      </w:pPr>
      <w:r>
        <w:rPr>
          <w:rFonts w:ascii="Calibri" w:hAnsi="Calibri"/>
          <w:b/>
          <w:sz w:val="21"/>
        </w:rPr>
        <w:t xml:space="preserve">QR Code Tracing — </w:t>
      </w:r>
      <w:r>
        <w:rPr>
          <w:rFonts w:ascii="Calibri" w:hAnsi="Calibri"/>
          <w:b w:val="0"/>
          <w:sz w:val="21"/>
        </w:rPr>
        <w:t>Every certified batch receives a scannable QR code. Consumers, retailers, or regulators scan it to see the complete verified provenance chain.</w:t>
      </w:r>
    </w:p>
    <w:p>
      <w:pPr>
        <w:pStyle w:val="ListBullet"/>
        <w:spacing w:before="20" w:after="40"/>
        <w:ind w:left="283"/>
      </w:pPr>
      <w:r>
        <w:rPr>
          <w:rFonts w:ascii="Calibri" w:hAnsi="Calibri"/>
          <w:b/>
          <w:sz w:val="21"/>
        </w:rPr>
        <w:t xml:space="preserve">Offline-First Mobile App — </w:t>
      </w:r>
      <w:r>
        <w:rPr>
          <w:rFonts w:ascii="Calibri" w:hAnsi="Calibri"/>
          <w:b w:val="0"/>
          <w:sz w:val="21"/>
        </w:rPr>
        <w:t>Field collectors log harvests locally (SQLite) without internet. Records sync to the blockchain automatically when connectivity is restored.</w:t>
      </w:r>
    </w:p>
    <w:p>
      <w:pPr>
        <w:spacing w:before="200" w:after="60"/>
        <w:pBdr>
          <w:bottom w:val="single" w:sz="4" w:space="1" w:color="1E5AA0"/>
        </w:pBdr>
      </w:pPr>
      <w:r>
        <w:rPr>
          <w:rFonts w:ascii="Calibri" w:hAnsi="Calibri"/>
          <w:b/>
          <w:color w:val="1A1A2E"/>
          <w:sz w:val="22"/>
        </w:rPr>
        <w:t>4. TECHNOLOGIES USED</w:t>
      </w:r>
    </w:p>
    <w:tbl>
      <w:tblPr>
        <w:tblStyle w:val="TableGrid"/>
        <w:tblW w:type="auto" w:w="0"/>
        <w:jc w:val="center"/>
        <w:tblLook w:firstColumn="1" w:firstRow="1" w:lastColumn="0" w:lastRow="0" w:noHBand="0" w:noVBand="1" w:val="04A0"/>
      </w:tblPr>
      <w:tblGrid>
        <w:gridCol w:w="4703"/>
        <w:gridCol w:w="4703"/>
      </w:tblGrid>
      <w:tr>
        <w:tc>
          <w:tcPr>
            <w:tcW w:type="dxa" w:w="2268"/>
          </w:tcPr>
          <w:p>
            <w:r>
              <w:rPr>
                <w:rFonts w:ascii="Calibri" w:hAnsi="Calibri"/>
                <w:b/>
                <w:sz w:val="20"/>
              </w:rPr>
              <w:t>Layer</w:t>
            </w:r>
          </w:p>
        </w:tc>
        <w:tc>
          <w:tcPr>
            <w:tcW w:type="dxa" w:w="7087"/>
          </w:tcPr>
          <w:p>
            <w:r>
              <w:rPr>
                <w:rFonts w:ascii="Calibri" w:hAnsi="Calibri"/>
                <w:b/>
                <w:sz w:val="20"/>
              </w:rPr>
              <w:t>Technology</w:t>
            </w:r>
          </w:p>
        </w:tc>
      </w:tr>
      <w:tr>
        <w:tc>
          <w:tcPr>
            <w:tcW w:type="dxa" w:w="2268"/>
          </w:tcPr>
          <w:p>
            <w:r>
              <w:rPr>
                <w:rFonts w:ascii="Calibri" w:hAnsi="Calibri"/>
                <w:b w:val="0"/>
                <w:sz w:val="20"/>
              </w:rPr>
              <w:t>Blockchain</w:t>
            </w:r>
          </w:p>
        </w:tc>
        <w:tc>
          <w:tcPr>
            <w:tcW w:type="dxa" w:w="7087"/>
          </w:tcPr>
          <w:p>
            <w:r>
              <w:rPr>
                <w:rFonts w:ascii="Calibri" w:hAnsi="Calibri"/>
                <w:b w:val="0"/>
                <w:sz w:val="20"/>
              </w:rPr>
              <w:t>Hyperledger Fabric v2.x, Raft consensus, TLS, CouchDB world state</w:t>
            </w:r>
          </w:p>
        </w:tc>
      </w:tr>
      <w:tr>
        <w:tc>
          <w:tcPr>
            <w:tcW w:type="dxa" w:w="2268"/>
          </w:tcPr>
          <w:p>
            <w:r>
              <w:rPr>
                <w:rFonts w:ascii="Calibri" w:hAnsi="Calibri"/>
                <w:b w:val="0"/>
                <w:sz w:val="20"/>
              </w:rPr>
              <w:t>Smart Contracts</w:t>
            </w:r>
          </w:p>
        </w:tc>
        <w:tc>
          <w:tcPr>
            <w:tcW w:type="dxa" w:w="7087"/>
          </w:tcPr>
          <w:p>
            <w:r>
              <w:rPr>
                <w:rFonts w:ascii="Calibri" w:hAnsi="Calibri"/>
                <w:b w:val="0"/>
                <w:sz w:val="20"/>
              </w:rPr>
              <w:t>Node.js chaincode (Haversine GPS validation)</w:t>
            </w:r>
          </w:p>
        </w:tc>
      </w:tr>
      <w:tr>
        <w:tc>
          <w:tcPr>
            <w:tcW w:type="dxa" w:w="2268"/>
          </w:tcPr>
          <w:p>
            <w:r>
              <w:rPr>
                <w:rFonts w:ascii="Calibri" w:hAnsi="Calibri"/>
                <w:b w:val="0"/>
                <w:sz w:val="20"/>
              </w:rPr>
              <w:t>Backend</w:t>
            </w:r>
          </w:p>
        </w:tc>
        <w:tc>
          <w:tcPr>
            <w:tcW w:type="dxa" w:w="7087"/>
          </w:tcPr>
          <w:p>
            <w:r>
              <w:rPr>
                <w:rFonts w:ascii="Calibri" w:hAnsi="Calibri"/>
                <w:b w:val="0"/>
                <w:sz w:val="20"/>
              </w:rPr>
              <w:t>Python 3.11, FastAPI, MongoDB, JWT + Google OAuth2</w:t>
            </w:r>
          </w:p>
        </w:tc>
      </w:tr>
      <w:tr>
        <w:tc>
          <w:tcPr>
            <w:tcW w:type="dxa" w:w="2268"/>
          </w:tcPr>
          <w:p>
            <w:r>
              <w:rPr>
                <w:rFonts w:ascii="Calibri" w:hAnsi="Calibri"/>
                <w:b w:val="0"/>
                <w:sz w:val="20"/>
              </w:rPr>
              <w:t>Frontend</w:t>
            </w:r>
          </w:p>
        </w:tc>
        <w:tc>
          <w:tcPr>
            <w:tcW w:type="dxa" w:w="7087"/>
          </w:tcPr>
          <w:p>
            <w:r>
              <w:rPr>
                <w:rFonts w:ascii="Calibri" w:hAnsi="Calibri"/>
                <w:b w:val="0"/>
                <w:sz w:val="20"/>
              </w:rPr>
              <w:t>React 19, shadcn/ui, Leaflet.js — deployed on Vercel</w:t>
            </w:r>
          </w:p>
        </w:tc>
      </w:tr>
      <w:tr>
        <w:tc>
          <w:tcPr>
            <w:tcW w:type="dxa" w:w="2268"/>
          </w:tcPr>
          <w:p>
            <w:r>
              <w:rPr>
                <w:rFonts w:ascii="Calibri" w:hAnsi="Calibri"/>
                <w:b w:val="0"/>
                <w:sz w:val="20"/>
              </w:rPr>
              <w:t>Mobile</w:t>
            </w:r>
          </w:p>
        </w:tc>
        <w:tc>
          <w:tcPr>
            <w:tcW w:type="dxa" w:w="7087"/>
          </w:tcPr>
          <w:p>
            <w:r>
              <w:rPr>
                <w:rFonts w:ascii="Calibri" w:hAnsi="Calibri"/>
                <w:b w:val="0"/>
                <w:sz w:val="20"/>
              </w:rPr>
              <w:t>React Native (Expo), SQLite, Zustand state management</w:t>
            </w:r>
          </w:p>
        </w:tc>
      </w:tr>
      <w:tr>
        <w:tc>
          <w:tcPr>
            <w:tcW w:type="dxa" w:w="2268"/>
          </w:tcPr>
          <w:p>
            <w:r>
              <w:rPr>
                <w:rFonts w:ascii="Calibri" w:hAnsi="Calibri"/>
                <w:b w:val="0"/>
                <w:sz w:val="20"/>
              </w:rPr>
              <w:t>DevOps</w:t>
            </w:r>
          </w:p>
        </w:tc>
        <w:tc>
          <w:tcPr>
            <w:tcW w:type="dxa" w:w="7087"/>
          </w:tcPr>
          <w:p>
            <w:r>
              <w:rPr>
                <w:rFonts w:ascii="Calibri" w:hAnsi="Calibri"/>
                <w:b w:val="0"/>
                <w:sz w:val="20"/>
              </w:rPr>
              <w:t>Docker (MongoDB), Vercel CI/CD, Git</w:t>
            </w:r>
          </w:p>
        </w:tc>
      </w:tr>
      <w:tr>
        <w:tc>
          <w:tcPr>
            <w:tcW w:type="dxa" w:w="2268"/>
          </w:tcPr>
          <w:p>
            <w:r>
              <w:rPr>
                <w:rFonts w:ascii="Calibri" w:hAnsi="Calibri"/>
                <w:b w:val="0"/>
                <w:sz w:val="20"/>
              </w:rPr>
              <w:t>API Documentation</w:t>
            </w:r>
          </w:p>
        </w:tc>
        <w:tc>
          <w:tcPr>
            <w:tcW w:type="dxa" w:w="7087"/>
          </w:tcPr>
          <w:p>
            <w:r>
              <w:rPr>
                <w:rFonts w:ascii="Calibri" w:hAnsi="Calibri"/>
                <w:b w:val="0"/>
                <w:sz w:val="20"/>
              </w:rPr>
              <w:t>Swagger UI via FastAPI /docs</w:t>
            </w:r>
          </w:p>
        </w:tc>
      </w:tr>
    </w:tbl>
    <w:p>
      <w:pPr>
        <w:spacing w:after="40"/>
      </w:pPr>
    </w:p>
    <w:p>
      <w:pPr>
        <w:spacing w:before="200" w:after="60"/>
        <w:pBdr>
          <w:bottom w:val="single" w:sz="4" w:space="1" w:color="1E5AA0"/>
        </w:pBdr>
      </w:pPr>
      <w:r>
        <w:rPr>
          <w:rFonts w:ascii="Calibri" w:hAnsi="Calibri"/>
          <w:b/>
          <w:color w:val="1A1A2E"/>
          <w:sz w:val="22"/>
        </w:rPr>
        <w:t>5. INNOVATION ASPECTS</w:t>
      </w:r>
    </w:p>
    <w:p>
      <w:pPr>
        <w:spacing w:before="20" w:after="60"/>
      </w:pPr>
      <w:r>
        <w:rPr>
          <w:rFonts w:ascii="Calibri" w:hAnsi="Calibri"/>
          <w:b w:val="0"/>
          <w:sz w:val="21"/>
        </w:rPr>
        <w:t>The GPS-on-chain validation is the defining innovation. Existing traceability systems validate location at the API layer — meaning a compromised server can bypass the check. In HERB-Vault, the Haversine formula runs inside the blockchain chaincode and is part of the consensus process. No participant in the network can approve an out-of-zone transaction. A patent application has been filed for this mechanism.</w:t>
      </w:r>
    </w:p>
    <w:p>
      <w:pPr>
        <w:pStyle w:val="ListBullet"/>
        <w:spacing w:before="20" w:after="40"/>
        <w:ind w:left="283"/>
      </w:pPr>
      <w:r>
        <w:rPr>
          <w:rFonts w:ascii="Calibri" w:hAnsi="Calibri"/>
          <w:b w:val="0"/>
          <w:sz w:val="21"/>
        </w:rPr>
        <w:t>Permissioned blockchain ensures only authorized participants can write to the ledger.</w:t>
      </w:r>
    </w:p>
    <w:p>
      <w:pPr>
        <w:pStyle w:val="ListBullet"/>
        <w:spacing w:before="20" w:after="40"/>
        <w:ind w:left="283"/>
      </w:pPr>
      <w:r>
        <w:rPr>
          <w:rFonts w:ascii="Calibri" w:hAnsi="Calibri"/>
          <w:b w:val="0"/>
          <w:sz w:val="21"/>
        </w:rPr>
        <w:t>Offline-first architecture ensures data integrity even in zero-connectivity field conditions.</w:t>
      </w:r>
    </w:p>
    <w:p>
      <w:pPr>
        <w:pStyle w:val="ListBullet"/>
        <w:spacing w:before="20" w:after="40"/>
        <w:ind w:left="283"/>
      </w:pPr>
      <w:r>
        <w:rPr>
          <w:rFonts w:ascii="Calibri" w:hAnsi="Calibri"/>
          <w:b w:val="0"/>
          <w:sz w:val="21"/>
        </w:rPr>
        <w:t>QR-based consumer verification — no app required, works with any smartphone camera.</w:t>
      </w:r>
    </w:p>
    <w:p>
      <w:pPr>
        <w:spacing w:before="200" w:after="60"/>
        <w:pBdr>
          <w:bottom w:val="single" w:sz="4" w:space="1" w:color="1E5AA0"/>
        </w:pBdr>
      </w:pPr>
      <w:r>
        <w:rPr>
          <w:rFonts w:ascii="Calibri" w:hAnsi="Calibri"/>
          <w:b/>
          <w:color w:val="1A1A2E"/>
          <w:sz w:val="22"/>
        </w:rPr>
        <w:t>6. INDUSTRY RELEVANCE &amp; RESULTS</w:t>
      </w:r>
    </w:p>
    <w:p>
      <w:pPr>
        <w:pStyle w:val="ListBullet"/>
        <w:spacing w:before="20" w:after="40"/>
        <w:ind w:left="283"/>
      </w:pPr>
      <w:r>
        <w:rPr>
          <w:rFonts w:ascii="Calibri" w:hAnsi="Calibri"/>
          <w:b w:val="0"/>
          <w:sz w:val="21"/>
        </w:rPr>
        <w:t>Live deployment at sih-blockchain.vercel.app (production-ready, publicly accessible).</w:t>
      </w:r>
    </w:p>
    <w:p>
      <w:pPr>
        <w:pStyle w:val="ListBullet"/>
        <w:spacing w:before="20" w:after="40"/>
        <w:ind w:left="283"/>
      </w:pPr>
      <w:r>
        <w:rPr>
          <w:rFonts w:ascii="Calibri" w:hAnsi="Calibri"/>
          <w:b w:val="0"/>
          <w:sz w:val="21"/>
        </w:rPr>
        <w:t>Selected in Top 25 teams at CMTI Design &amp; Innovation Clinic 2026, Bengaluru (April 16–18).</w:t>
      </w:r>
    </w:p>
    <w:p>
      <w:pPr>
        <w:pStyle w:val="ListBullet"/>
        <w:spacing w:before="20" w:after="40"/>
        <w:ind w:left="283"/>
      </w:pPr>
      <w:r>
        <w:rPr>
          <w:rFonts w:ascii="Calibri" w:hAnsi="Calibri"/>
          <w:b w:val="0"/>
          <w:sz w:val="21"/>
        </w:rPr>
        <w:t>Designed for AYUSH/FSSAI compliance — directly addresses regulatory audit requirements.</w:t>
      </w:r>
    </w:p>
    <w:p>
      <w:pPr>
        <w:pStyle w:val="ListBullet"/>
        <w:spacing w:before="20" w:after="40"/>
        <w:ind w:left="283"/>
      </w:pPr>
      <w:r>
        <w:rPr>
          <w:rFonts w:ascii="Calibri" w:hAnsi="Calibri"/>
          <w:b w:val="0"/>
          <w:sz w:val="21"/>
        </w:rPr>
        <w:t>Originally built for Smart India Hackathon 2024.</w:t>
      </w:r>
    </w:p>
    <w:p>
      <w:pPr>
        <w:pStyle w:val="ListBullet"/>
        <w:spacing w:before="20" w:after="40"/>
        <w:ind w:left="283"/>
      </w:pPr>
      <w:r>
        <w:rPr>
          <w:rFonts w:ascii="Calibri" w:hAnsi="Calibri"/>
          <w:b w:val="0"/>
          <w:sz w:val="21"/>
        </w:rPr>
        <w:t>Target market: ₹30,000 Crore+ Indian Ayurvedic industry (B2B SaaS model).</w:t>
      </w:r>
    </w:p>
    <w:p>
      <w:pPr>
        <w:spacing w:before="200" w:after="60"/>
        <w:pBdr>
          <w:bottom w:val="single" w:sz="4" w:space="1" w:color="1E5AA0"/>
        </w:pBdr>
      </w:pPr>
      <w:r>
        <w:rPr>
          <w:rFonts w:ascii="Calibri" w:hAnsi="Calibri"/>
          <w:b/>
          <w:color w:val="1A1A2E"/>
          <w:sz w:val="22"/>
        </w:rPr>
        <w:t>IMPACT</w:t>
      </w:r>
    </w:p>
    <w:p>
      <w:pPr>
        <w:pStyle w:val="ListBullet"/>
        <w:spacing w:before="20" w:after="40"/>
        <w:ind w:left="283"/>
      </w:pPr>
      <w:r>
        <w:rPr>
          <w:rFonts w:ascii="Calibri" w:hAnsi="Calibri"/>
          <w:b w:val="0"/>
          <w:sz w:val="21"/>
        </w:rPr>
        <w:t>Farmers get verifiable proof of geographic origin — enabling premium pricing for authentic herbs.</w:t>
      </w:r>
    </w:p>
    <w:p>
      <w:pPr>
        <w:pStyle w:val="ListBullet"/>
        <w:spacing w:before="20" w:after="40"/>
        <w:ind w:left="283"/>
      </w:pPr>
      <w:r>
        <w:rPr>
          <w:rFonts w:ascii="Calibri" w:hAnsi="Calibri"/>
          <w:b w:val="0"/>
          <w:sz w:val="21"/>
        </w:rPr>
        <w:t>Consumers can verify any product's full provenance with a single QR scan.</w:t>
      </w:r>
    </w:p>
    <w:p>
      <w:pPr>
        <w:pStyle w:val="ListBullet"/>
        <w:spacing w:before="20" w:after="40"/>
        <w:ind w:left="283"/>
      </w:pPr>
      <w:r>
        <w:rPr>
          <w:rFonts w:ascii="Calibri" w:hAnsi="Calibri"/>
          <w:b w:val="0"/>
          <w:sz w:val="21"/>
        </w:rPr>
        <w:t>Regulators gain a real-time, tamper-proof supply chain with no central point of failure.</w:t>
      </w:r>
    </w:p>
    <w:p>
      <w:pPr>
        <w:pStyle w:val="ListBullet"/>
        <w:spacing w:before="20" w:after="40"/>
        <w:ind w:left="283"/>
      </w:pPr>
      <w:r>
        <w:rPr>
          <w:rFonts w:ascii="Calibri" w:hAnsi="Calibri"/>
          <w:b w:val="0"/>
          <w:sz w:val="21"/>
        </w:rPr>
        <w:t>Manufacturers have a clear chain of custody to isolate quality failures quickly.</w:t>
      </w:r>
    </w:p>
    <w:p>
      <w:pPr>
        <w:pBdr>
          <w:bottom w:val="single" w:sz="6" w:space="1" w:color="1a1a2e"/>
        </w:pBdr>
        <w:spacing w:before="0" w:after="0"/>
      </w:pPr>
    </w:p>
    <w:p>
      <w:pPr>
        <w:jc w:val="center"/>
      </w:pPr>
      <w:r>
        <w:rPr>
          <w:rFonts w:ascii="Calibri" w:hAnsi="Calibri"/>
          <w:b w:val="0"/>
          <w:color w:val="646464"/>
          <w:sz w:val="18"/>
        </w:rPr>
        <w:t>School of Computer Science and Engineering  |  Semester VI Mini Project (APT)  |  2025–26</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