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34E4A"/>
            <w:tcMar>
              <w:top w:w="240" w:type="dxa"/>
              <w:bottom w:w="240" w:type="dxa"/>
              <w:left w:w="240" w:type="dxa"/>
              <w:right w:w="24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color w:val="F59E0B"/>
                <w:sz w:val="20"/>
              </w:rPr>
              <w:t>HEALTHCARE PLATFORM TECHNICAL SPECIFICATION</w:t>
              <w:br/>
            </w:r>
            <w:r>
              <w:rPr>
                <w:rFonts w:ascii="Arial" w:hAnsi="Arial"/>
                <w:b/>
                <w:color w:val="FFFFFF"/>
                <w:sz w:val="40"/>
              </w:rPr>
              <w:t>System Architecture, Setup Guide &amp; Interactive Walkthrough</w:t>
              <w:br/>
            </w:r>
            <w:r>
              <w:rPr>
                <w:rFonts w:ascii="Arial" w:hAnsi="Arial"/>
                <w:color w:val="CCFBF1"/>
                <w:sz w:val="22"/>
              </w:rPr>
              <w:t>Master Engineering Manual for Cloud Deployment, Full-Stack Configuration, Google Calendar/Meet Integration, and Gemini AI Clinical Triage.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Project Name &amp; Version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HealthCare Platform ('Thoughtful Health') — Release v2.4.0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Architecture Tier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React/Vite SPA + FastAPI REST Server + Supabase DB + Gemini AI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Target Environments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Local Development, Docker Containers, Render / Cloud Deployments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2937"/>
                <w:sz w:val="19"/>
              </w:rPr>
              <w:t>Document Classification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Master Technical Reference &amp; Operations Manual (August 2026)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34E4A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134E4A"/>
                <w:sz w:val="22"/>
              </w:rPr>
              <w:t>📌 Executive Summary &amp; Technical Scope</w:t>
              <w:br/>
            </w:r>
            <w:r>
              <w:rPr>
                <w:rFonts w:ascii="Arial" w:hAnsi="Arial"/>
                <w:color w:val="1F2937"/>
                <w:sz w:val="20"/>
              </w:rPr>
            </w:r>
            <w:r>
              <w:br/>
            </w:r>
            <w:r>
              <w:rPr>
                <w:rFonts w:ascii="Arial" w:hAnsi="Arial"/>
                <w:color w:val="1F2937"/>
                <w:sz w:val="20"/>
              </w:rPr>
              <w:t>This master technical document provides end-to-end instructions for spinning up the frontend and backend microservices, configuring cloud security variables, architecting database schemas, and understanding the user workflow through annotated visual walkthroughs.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1. Platform Architecture &amp; Technology Stack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platform is engineered with a decoupled, modern architecture separating the client-side single-page application (SPA), the asynchronous high-performance API server, cloud-native managed persistence, and external third-party medical and scheduling integrations.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1.1 High-Level Architecture Components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Frontend Layer (Vite/React):</w:t>
      </w:r>
      <w:r>
        <w:rPr>
          <w:rFonts w:ascii="Arial" w:hAnsi="Arial"/>
          <w:color w:val="1F2937"/>
          <w:sz w:val="21"/>
        </w:rPr>
        <w:t xml:space="preserve"> Client-side React application powered by Vite, providing responsive, highly accessible UI components with zero bundle bloat.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Application Backend (FastAPI):</w:t>
      </w:r>
      <w:r>
        <w:rPr>
          <w:rFonts w:ascii="Arial" w:hAnsi="Arial"/>
          <w:color w:val="1F2937"/>
          <w:sz w:val="21"/>
        </w:rPr>
        <w:t xml:space="preserve"> Asynchronous RESTful microservice built with Python 3.11+ and FastAPI, handling business logic, OAuth credential exchanges, slot validation, and AI prompt pipelines.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Database &amp; Identity (Supabase):</w:t>
      </w:r>
      <w:r>
        <w:rPr>
          <w:rFonts w:ascii="Arial" w:hAnsi="Arial"/>
          <w:color w:val="1F2937"/>
          <w:sz w:val="21"/>
        </w:rPr>
        <w:t xml:space="preserve"> Managed PostgreSQL cluster providing Row-Level Security (RLS), GoTrue identity management, and real-time data sync.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AI Clinical Intelligence (Google Gemini):</w:t>
      </w:r>
      <w:r>
        <w:rPr>
          <w:rFonts w:ascii="Arial" w:hAnsi="Arial"/>
          <w:color w:val="1F2937"/>
          <w:sz w:val="21"/>
        </w:rPr>
        <w:t xml:space="preserve"> Powered by Google Generative AI (Gemini 1.5 Pro/Flash), converting unstructured patient complaints into structured medical triage reports and diagnostic prep questions.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Telehealth &amp; Scheduling (Google Calendar API):</w:t>
      </w:r>
      <w:r>
        <w:rPr>
          <w:rFonts w:ascii="Arial" w:hAnsi="Arial"/>
          <w:color w:val="1F2937"/>
          <w:sz w:val="21"/>
        </w:rPr>
        <w:t xml:space="preserve"> Automated two-way appointment synchronization and instant Google Meet video conference provisioning via Google Cloud OAuth 2.0 API.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Notification Engine (SMTP Relay):</w:t>
      </w:r>
      <w:r>
        <w:rPr>
          <w:rFonts w:ascii="Arial" w:hAnsi="Arial"/>
          <w:color w:val="1F2937"/>
          <w:sz w:val="21"/>
        </w:rPr>
        <w:t xml:space="preserve"> Transactional email pipeline via secure TLS/STARTTLS dispatching automated booking confirmations and intake summaries to doctors and patients.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1.2 System Architecture Interaction Model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diagram below outlines how client requests flow across the API boundary, database, Google services, and Gemini LLM: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+-----------------------------------------------------------------------------------------+</w:t>
              <w:br/>
              <w:t>|                             CLIENT APPLICATION LAYER (React / Vite)                    |</w:t>
              <w:br/>
              <w:t>|  - Patient Sanctuary Hub      - Multi-Step Booking Wizard    - Video Call Launchpad      |</w:t>
              <w:br/>
              <w:t>+--------------------------------------------+--------------------------------------------+</w:t>
              <w:br/>
              <w:t xml:space="preserve">                                             | HTTPS / JSON REST</w:t>
              <w:br/>
              <w:t xml:space="preserve">                                             v</w:t>
              <w:br/>
              <w:t>+-----------------------------------------------------------------------------------------+</w:t>
              <w:br/>
              <w:t>|                             BACKEND API SERVICE (FastAPI / Python)                      |</w:t>
              <w:br/>
              <w:t>|  - OAuth 2.0 Flow Manager     - Slot Availability Engine     - AI Prompt Orchestrator    |</w:t>
              <w:br/>
              <w:t>|  - JWT / Supabase Auth Guard  - Appointment Lifecycle Mgmt   - SMTP Notification Engine  |</w:t>
              <w:br/>
              <w:t>+--------------+-----------------------------+------------------------------+-------------+</w:t>
              <w:br/>
              <w:t xml:space="preserve">               |                             |                              |              </w:t>
              <w:br/>
              <w:t xml:space="preserve">               v                             v                              v              </w:t>
              <w:br/>
              <w:t>+---------------------------+  +---------------------------+  +---------------------------+</w:t>
              <w:br/>
              <w:t>|   SUPABASE (PostgreSQL)   |  |     GOOGLE CLOUD API      |  |      GOOGLE GEMINI AI     |</w:t>
              <w:br/>
              <w:t>|  - Profiles &amp; RBAC        |  |  - Calendar Event Sync    |  |  - Pre-visit Triage       |</w:t>
              <w:br/>
              <w:t>|  - Appointments &amp; Slots   |  |  - Auto Google Meet Link  |  |  - Urgency Classification |</w:t>
              <w:br/>
              <w:t>|  - Prescriptions &amp; Leaves |  |  - Guest Invite Dispatch  |  |  - Diagnostic Prep Qs     |</w:t>
              <w:br/>
              <w:t>+---------------------------+  +---------------------------+  +---------------------------+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2. Development Setup &amp; Installation Guide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Follow the standardized instructions below to provision the local development environment for both the frontend single-page application and the FastAPI backend service.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2.1 Prerequisites &amp; Toolchain Verification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Before starting, ensure your local workstation meets the following minimum version requirements: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Node.js Toolchain:</w:t>
      </w:r>
      <w:r>
        <w:rPr>
          <w:rFonts w:ascii="Arial" w:hAnsi="Arial"/>
          <w:color w:val="1F2937"/>
          <w:sz w:val="21"/>
        </w:rPr>
        <w:t xml:space="preserve"> Node.js v18.0.0 or higher with npm v9.0.0+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Python Environment:</w:t>
      </w:r>
      <w:r>
        <w:rPr>
          <w:rFonts w:ascii="Arial" w:hAnsi="Arial"/>
          <w:color w:val="1F2937"/>
          <w:sz w:val="21"/>
        </w:rPr>
        <w:t xml:space="preserve"> Python 3.10, 3.11, or 3.12 with pip and virtualenv support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Supabase Account:</w:t>
      </w:r>
      <w:r>
        <w:rPr>
          <w:rFonts w:ascii="Arial" w:hAnsi="Arial"/>
          <w:color w:val="1F2937"/>
          <w:sz w:val="21"/>
        </w:rPr>
        <w:t xml:space="preserve"> Active Supabase project (URL, Anon Key, and Service Role Secret)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Google Cloud Console:</w:t>
      </w:r>
      <w:r>
        <w:rPr>
          <w:rFonts w:ascii="Arial" w:hAnsi="Arial"/>
          <w:color w:val="1F2937"/>
          <w:sz w:val="21"/>
        </w:rPr>
        <w:t xml:space="preserve"> Project with Calendar API enabled and OAuth Client ID created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Gemini AI API:</w:t>
      </w:r>
      <w:r>
        <w:rPr>
          <w:rFonts w:ascii="Arial" w:hAnsi="Arial"/>
          <w:color w:val="1F2937"/>
          <w:sz w:val="21"/>
        </w:rPr>
        <w:t xml:space="preserve"> API Key from Google AI Studio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2.2 Frontend Configuration (React / Vite)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client application is contained within the `/frontend` directory. Run the following commands in your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# 1. Navigate to the frontend directory</w:t>
              <w:br/>
              <w:t>cd frontend</w:t>
              <w:br/>
              <w:br/>
              <w:t># 2. Install all node dependencies</w:t>
              <w:br/>
              <w:t>npm install</w:t>
              <w:br/>
              <w:br/>
              <w:t># 3. Configure environment variables</w:t>
              <w:br/>
              <w:t>cp .env.example .env</w:t>
              <w:br/>
              <w:br/>
              <w:t># 4. Launch local development server with Hot Module Reloading (HMR)</w:t>
              <w:br/>
              <w:t>npm run dev</w:t>
              <w:br/>
              <w:t># Server will start at: http://localhost:5173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2.3 Backend Configuration (FastAPI / Python)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backend service is located in the `/backend` directory. Follow standard Python virtual environment practices: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# 1. Navigate to the backend directory</w:t>
              <w:br/>
              <w:t>cd backend</w:t>
              <w:br/>
              <w:br/>
              <w:t># 2. Create an isolated virtual environment</w:t>
              <w:br/>
              <w:t>python -m venv .venv</w:t>
              <w:br/>
              <w:br/>
              <w:t># 3. Activate the virtual environment</w:t>
              <w:br/>
              <w:t># On Linux/macOS:</w:t>
              <w:br/>
              <w:t>source .venv/bin/activate</w:t>
              <w:br/>
              <w:t># On Windows (PowerShell):</w:t>
              <w:br/>
              <w:t>.venv\Scripts\Activate.ps1</w:t>
              <w:br/>
              <w:br/>
              <w:t># 4. Install required dependencies</w:t>
              <w:br/>
              <w:t>pip install -r requirements.txt</w:t>
              <w:br/>
              <w:br/>
              <w:t># 5. Configure environment variables</w:t>
              <w:br/>
              <w:t>cp .env.example .env</w:t>
              <w:br/>
              <w:br/>
              <w:t># 6. Run the Uvicorn ASGI server with hot reloading</w:t>
              <w:br/>
              <w:t>uvicorn app.main:app --reload --port 8000</w:t>
              <w:br/>
              <w:t># API Swagger documentation available at: http://localhost:8000/docs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3. Environment Variables Reference (.env.example)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Properly configuring environment variables is critical for service orchestration, authentication, and secure communication between third-party APIs.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3.1 Backend Environment Configuration (`backend/.env`)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Below is the complete specification of all backend environment variables: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# ==========================================</w:t>
              <w:br/>
              <w:t># SUPABASE DATABASE &amp; AUTHENTICATION</w:t>
              <w:br/>
              <w:t># ==========================================</w:t>
              <w:br/>
              <w:t>SUPABASE_URL="https://your-project-id.supabase.co"</w:t>
              <w:br/>
              <w:t>SUPABASE_PUBLISHABLE_KEY="your-anon-key"</w:t>
              <w:br/>
              <w:t>SUPABASE_SECRET_KEY="your-service-role-key"</w:t>
              <w:br/>
              <w:br/>
              <w:t># ==========================================</w:t>
              <w:br/>
              <w:t># GOOGLE GEMINI AI CONFIGURATION</w:t>
              <w:br/>
              <w:t># ==========================================</w:t>
              <w:br/>
              <w:t>GEMINI_API_KEY="your-gemini-api-key"</w:t>
              <w:br/>
              <w:br/>
              <w:t># ==========================================</w:t>
              <w:br/>
              <w:t># EMAIL NOTIFICATIONS (SMTP RELAY)</w:t>
              <w:br/>
              <w:t># ==========================================</w:t>
              <w:br/>
              <w:t>SMTP_SERVER="smtp.gmail.com"</w:t>
              <w:br/>
              <w:t>SMTP_PORT=587</w:t>
              <w:br/>
              <w:t>SMTP_USER="your-email@gmail.com"</w:t>
              <w:br/>
              <w:t>SMTP_PASSWORD="your-app-password"</w:t>
              <w:br/>
              <w:br/>
              <w:t># ==========================================</w:t>
              <w:br/>
              <w:t># GOOGLE CALENDAR &amp; OAUTH 2.0 AUTHENTICATION</w:t>
              <w:br/>
              <w:t># ==========================================</w:t>
              <w:br/>
              <w:t>GOOGLE_CLIENT_ID="your-google-oauth-client-id.apps.googleusercontent.com"</w:t>
              <w:br/>
              <w:t>GOOGLE_CLIENT_SECRET="your-google-oauth-client-secret"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72"/>
        <w:gridCol w:w="4608"/>
      </w:tblGrid>
      <w:tr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Scope / Type</w:t>
            </w:r>
          </w:p>
        </w:tc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Operational Guidance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8"/>
              </w:rPr>
              <w:t>SUPABASE_URL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Backend / String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HTTPS endpoint for the Supabase PostgreSQL REST &amp; Auth API.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8"/>
              </w:rPr>
              <w:t>SUPABASE_SECRET_KEY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Backend / Secret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Service role JWT key with admin privileges to bypass RLS for server operations.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8"/>
              </w:rPr>
              <w:t>GEMINI_API_KEY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Backend / Secret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API authentication key for Google Generative AI LLM triage pipelines.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8"/>
              </w:rPr>
              <w:t>SMTP_USER / PASSWORD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Backend / Credential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Sender mailbox address and 16-character Google App Password for mail alerts.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8"/>
              </w:rPr>
              <w:t>GOOGLE_CLIENT_ID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Backend / OAuth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OAuth 2.0 Web Application client identifier registered in Google Cloud.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8"/>
              </w:rPr>
              <w:t>GOOGLE_CLIENT_SECRET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Backend / Secret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8"/>
              </w:rPr>
              <w:t>Private cryptographic secret used to exchange auth code for OAuth refresh token.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3.2 Frontend Environment Configuration (`frontend/.env`)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React Vite client requires only public/browser-safe variables prefixed with `VITE_`: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VITE_SUPABASE_URL="https://your-project-id.supabase.co"</w:t>
              <w:br/>
              <w:t>VITE_SUPABASE_ANON_KEY="your-anon-key"</w:t>
              <w:br/>
              <w:t>VITE_API_BASE_URL="http://localhost:8000/api/v1" # Or production deployment URL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Arial" w:hAnsi="Arial"/>
                <w:b/>
                <w:color w:val="134E4A"/>
                <w:sz w:val="22"/>
              </w:rPr>
              <w:t>📌 Security Best Practice: Key Segregation</w:t>
              <w:br/>
            </w:r>
            <w:r>
              <w:rPr>
                <w:rFonts w:ascii="Arial" w:hAnsi="Arial"/>
                <w:color w:val="1F2937"/>
                <w:sz w:val="20"/>
              </w:rPr>
            </w:r>
            <w:r>
              <w:br/>
            </w:r>
            <w:r>
              <w:rPr>
                <w:rFonts w:ascii="Arial" w:hAnsi="Arial"/>
                <w:color w:val="1F2937"/>
                <w:sz w:val="20"/>
              </w:rPr>
              <w:t>Frontend bundles are publicly readable in the browser. Only the public anon key (VITE_SUPABASE_ANON_KEY) and public endpoints should reside in client-side code.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4. Google Calendar &amp; Google Meet Integration Workflow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To enable bidirectional calendar scheduling and automatic generation of Google Meet consultation rooms, the backend communicates with Google APIs using OAuth 2.0.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4.1 Google Cloud Console Step-by-Step Setup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1: Create Project —</w:t>
      </w:r>
      <w:r>
        <w:rPr>
          <w:rFonts w:ascii="Arial" w:hAnsi="Arial"/>
          <w:color w:val="1F2937"/>
          <w:sz w:val="21"/>
        </w:rPr>
        <w:t xml:space="preserve"> Navigate to the Google Cloud Console (https://console.cloud.google.com/) and create a dedicated project (e.g., 'HealthCare-Platform-App').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2: Enable Calendar API —</w:t>
      </w:r>
      <w:r>
        <w:rPr>
          <w:rFonts w:ascii="Arial" w:hAnsi="Arial"/>
          <w:color w:val="1F2937"/>
          <w:sz w:val="21"/>
        </w:rPr>
        <w:t xml:space="preserve"> Go to APIs &amp; Services &gt; Library. Search for 'Google Calendar API' and click Enable.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3: Configure Consent Screen —</w:t>
      </w:r>
      <w:r>
        <w:rPr>
          <w:rFonts w:ascii="Arial" w:hAnsi="Arial"/>
          <w:color w:val="1F2937"/>
          <w:sz w:val="21"/>
        </w:rPr>
        <w:t xml:space="preserve"> Under APIs &amp; Services &gt; OAuth consent screen, select 'External' (or 'Internal' for workspace orgs). Add application name, support email, and add the scope `https://www.googleapis.com/auth/calendar`.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4: Create OAuth Client —</w:t>
      </w:r>
      <w:r>
        <w:rPr>
          <w:rFonts w:ascii="Arial" w:hAnsi="Arial"/>
          <w:color w:val="1F2937"/>
          <w:sz w:val="21"/>
        </w:rPr>
        <w:t xml:space="preserve"> Go to APIs &amp; Services &gt; Credentials. Click '+ Create Credentials' and select 'OAuth client ID'.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5: Select Web App —</w:t>
      </w:r>
      <w:r>
        <w:rPr>
          <w:rFonts w:ascii="Arial" w:hAnsi="Arial"/>
          <w:color w:val="1F2937"/>
          <w:sz w:val="21"/>
        </w:rPr>
        <w:t xml:space="preserve"> Choose 'Web application' as the Application Type.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6: Add Redirect URI —</w:t>
      </w:r>
      <w:r>
        <w:rPr>
          <w:rFonts w:ascii="Arial" w:hAnsi="Arial"/>
          <w:color w:val="1F2937"/>
          <w:sz w:val="21"/>
        </w:rPr>
        <w:t xml:space="preserve"> Under Authorized redirect URIs, add your backend callback endpoint (e.g. `http://localhost:8000/api/v1/auth/google/callback` or production equivalent).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7: Store Credentials —</w:t>
      </w:r>
      <w:r>
        <w:rPr>
          <w:rFonts w:ascii="Arial" w:hAnsi="Arial"/>
          <w:color w:val="1F2937"/>
          <w:sz w:val="21"/>
        </w:rPr>
        <w:t xml:space="preserve"> Copy the generated Client ID and Client Secret, pasting them into `backend/.env`.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Step 8: Token Lifecycle —</w:t>
      </w:r>
      <w:r>
        <w:rPr>
          <w:rFonts w:ascii="Arial" w:hAnsi="Arial"/>
          <w:color w:val="1F2937"/>
          <w:sz w:val="21"/>
        </w:rPr>
        <w:t xml:space="preserve"> When a doctor or patient links their calendar, the backend exchanges the one-time auth code for an encrypted refresh token, enabling headless calendar updates.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5. Core Relational Database Schema (Supabase PostgreSQL)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database architecture is built on PostgreSQL inside Supabase, utilizing strict relational integrity and role-based data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Primary Columns &amp; Types</w:t>
            </w:r>
          </w:p>
        </w:tc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Relationships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7"/>
              </w:rPr>
              <w:t>profiles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id (UUID PK -&gt; auth.users)</w:t>
              <w:br/>
              <w:t>role (PATIENT/DOCTOR/ADMIN)</w:t>
              <w:br/>
              <w:t>full_name (TEXT)</w:t>
              <w:br/>
              <w:t>avatar_url (TEXT)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Extends Supabase Auth users with healthcare identity, profile photo, and role permissions.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7"/>
              </w:rPr>
              <w:t>appointments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id (UUID PK)</w:t>
              <w:br/>
              <w:t>doctor_id (UUID FK)</w:t>
              <w:br/>
              <w:t>patient_id (UUID FK)</w:t>
              <w:br/>
              <w:t>start_time, end_time (TIMESTAMPTZ)</w:t>
              <w:br/>
              <w:t>status (SCHEDULED/CANCELLED/COMPLETED)</w:t>
              <w:br/>
              <w:t>meet_link (TEXT)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Core consultation booking registry storing temporal boundaries, telehealth links, and visit statuses.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7"/>
              </w:rPr>
              <w:t>medications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id (UUID PK)</w:t>
              <w:br/>
              <w:t>appointment_id (UUID FK)</w:t>
              <w:br/>
              <w:t>patient_id (UUID FK)</w:t>
              <w:br/>
              <w:t>name, dosage, freq (TEXT)</w:t>
              <w:br/>
              <w:t>is_active (BOOLEAN)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Active and historical prescriptions issued to patients during or after clinical consultations.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7"/>
              </w:rPr>
              <w:t>notifications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id (UUID PK)</w:t>
              <w:br/>
              <w:t>user_id (UUID FK)</w:t>
              <w:br/>
              <w:t>title, body (TEXT)</w:t>
              <w:br/>
              <w:t>is_read (BOOLEAN)</w:t>
              <w:br/>
              <w:t>created_at (TIMESTAMPTZ)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Real-time in-app notification feed alerting users of booking confirmations, reminders, and updates.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7"/>
              </w:rPr>
              <w:t>doctor_availability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id (UUID PK)</w:t>
              <w:br/>
              <w:t>doctor_id (UUID FK)</w:t>
              <w:br/>
              <w:t>day_of_week (INT 0-6)</w:t>
              <w:br/>
              <w:t>start_time, end_time (TIME)</w:t>
              <w:br/>
              <w:t>slot_duration_mins (INT)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Base weekly recurring operating hours used by the slot-generation engine to compute free slots.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F2937"/>
                <w:sz w:val="17"/>
              </w:rPr>
              <w:t>leaves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id (UUID PK)</w:t>
              <w:br/>
              <w:t>doctor_id (UUID FK)</w:t>
              <w:br/>
              <w:t>start_datetime (TIMESTAMPTZ)</w:t>
              <w:br/>
              <w:t>end_datetime (TIMESTAMPTZ)</w:t>
              <w:br/>
              <w:t>reason (TEXT)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Doctor leave and out-of-office blocks that dynamically subtract slots from availability calculation.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6. Core REST API Endpoint Documentation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FastAPI application exposes structured RESTful endpoints versioned under `/api/v1/`. All private routes require a Bearer JWT passed in the Authorization header.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744"/>
        <w:gridCol w:w="3888"/>
      </w:tblGrid>
      <w:tr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Path &amp; Auth</w:t>
            </w:r>
          </w:p>
        </w:tc>
        <w:tc>
          <w:tcPr>
            <w:tcW w:type="dxa" w:w="3120"/>
            <w:shd w:fill="134E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Payload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2563EB"/>
                <w:sz w:val="17"/>
              </w:rPr>
              <w:t>GET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/api/v1/appointments/me</w:t>
              <w:br/>
              <w:t>[Auth: Patient/Doctor]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Fetches the full consultation list for the authenticated user, including Google Meet link and clinical summary.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/api/v1/appointments/book</w:t>
              <w:br/>
              <w:t>[Auth: Patient]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Books a designated slot. Dispatches Google Calendar event, sends confirmation email, and triggers Gemini pre-visit analysis.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/api/v1/appointments/{id}/cancel</w:t>
              <w:br/>
              <w:t>[Auth: Patient/Doctor]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Cancels an existing booking, frees the slot in database, deletes/updates Google Calendar invite, and sends notification.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2563EB"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/api/v1/doctors/{id}/slots</w:t>
              <w:br/>
              <w:t>[Auth: Public/Patient]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Calculates real-time available 30-min consultation windows based on doctor availability, active bookings, and approved leaves.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0B981"/>
                <w:sz w:val="17"/>
              </w:rPr>
              <w:t>POST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/api/v1/llm/chat</w:t>
              <w:br/>
              <w:t>[Auth: Authenticated]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Interactive AI chat endpoint for patient health inquiries and medical terminology assistance with safety guardrails.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/>
                <w:color w:val="2563EB"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/api/v1/auth/google/login</w:t>
              <w:br/>
              <w:t>[Auth: Public]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Initiates Google OAuth 2.0 flow for calendar synchronization, redirecting user to Google consent screen.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7. Google Gemini AI Clinical Triage &amp; Prompt Configuration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clinical intelligence layer uses Google Gemini to translate raw patient symptom descriptions into structured clinical summaries for doctors before the consultation begins.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7.1 Base Clinical System Prompt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following prompt is injected into all clinical triage contexts to ensure strict medical ethics, empathy, and non-prescriptive safety: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SYSTEM_PROMPT = """</w:t>
              <w:br/>
              <w:t>You are an intelligent, empathetic medical assistant AI for the HealthCare platform.</w:t>
              <w:br/>
              <w:t>Your role is to help patients triage symptoms, prepare questions for their doctor,</w:t>
              <w:br/>
              <w:t xml:space="preserve">and understand general medical terminology. </w:t>
              <w:br/>
              <w:br/>
              <w:t>CRITICAL SAFETY RULES:</w:t>
              <w:br/>
              <w:t>1. You must never provide definitive medical diagnoses.</w:t>
              <w:br/>
              <w:t>2. You must never prescribe medication or suggest dosages.</w:t>
              <w:br/>
              <w:t>3. Always advise the patient to consult their doctor for clinical decisions.</w:t>
              <w:br/>
              <w:t>4. Classify urgency into: Low, Medium, High, or Urgent (Emergency).</w:t>
              <w:br/>
              <w:t>5. Generate 3 targeted diagnostic questions the physician can use during intake.</w:t>
              <w:br/>
              <w:t>"""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8. Visual End-to-End System Walkthrough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This section provides a thorough visual walkthrough of the platform's user experience and underlying technical execution, illustrated with actual production screenshots.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8.1 Secure Authentication &amp; Member Portal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Patients and clinicians access the platform via the Secure Member Portal. The authentication layer is integrated directly with Supabase Auth and supports both standard email/password authentication and Google OAuth Single Sign-On (SSO).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40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1: </w:t>
      </w:r>
      <w:r>
        <w:rPr>
          <w:rFonts w:ascii="Arial" w:hAnsi="Arial"/>
          <w:i/>
          <w:color w:val="64748B"/>
          <w:sz w:val="19"/>
        </w:rPr>
        <w:t>Secure Member Portal — Entry point for patient and doctor authentication with Supabase Auth guard and Google Account SSO integration.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Frontend Mechanics:</w:t>
      </w:r>
      <w:r>
        <w:rPr>
          <w:rFonts w:ascii="Arial" w:hAnsi="Arial"/>
          <w:color w:val="1F2937"/>
          <w:sz w:val="21"/>
        </w:rPr>
        <w:t xml:space="preserve"> Client form captures credentials with instant validation.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Backend Mechanics:</w:t>
      </w:r>
      <w:r>
        <w:rPr>
          <w:rFonts w:ascii="Arial" w:hAnsi="Arial"/>
          <w:color w:val="1F2937"/>
          <w:sz w:val="21"/>
        </w:rPr>
        <w:t xml:space="preserve"> Passes tokens to Supabase GoTrue Auth endpoint. On success, an encrypted session JWT is stored and user profile role is resolved.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8.2 Patient Hub &amp; Dashboard Overview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Upon successful authentication, patients land on their personalized sanctuary dashboard (`Patient Hub`). The header displays dynamic greetings, real-time Google Calendar synchronization status, and active consultation cards.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5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2: </w:t>
      </w:r>
      <w:r>
        <w:rPr>
          <w:rFonts w:ascii="Arial" w:hAnsi="Arial"/>
          <w:i/>
          <w:color w:val="64748B"/>
          <w:sz w:val="19"/>
        </w:rPr>
        <w:t>Patient Hub Dashboard (Initial State) — Featuring active Google Calendar synchronization status, appointment booking trigger, and empty consultation state.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UI Overview:</w:t>
      </w:r>
      <w:r>
        <w:rPr>
          <w:rFonts w:ascii="Arial" w:hAnsi="Arial"/>
          <w:color w:val="1F2937"/>
          <w:sz w:val="21"/>
        </w:rPr>
        <w:t xml:space="preserve"> Displays persistent navigation (Overview, Book Appointment, Prescriptions), current synchronization badge ('Active Sync'), and direct '+ Book New Appointment' call-to-action button.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8.3 Profile Management &amp; User Settings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Users can customize their clinical identity via the Account Settings modal, supporting avatar photo uploads up to 5MB and real-time name synchronization across medical records.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55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5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3: </w:t>
      </w:r>
      <w:r>
        <w:rPr>
          <w:rFonts w:ascii="Arial" w:hAnsi="Arial"/>
          <w:i/>
          <w:color w:val="64748B"/>
          <w:sz w:val="19"/>
        </w:rPr>
        <w:t>Account Settings Modal — User profile picture management (JPG/PNG/GIF up to 5MB) and profile name update with Supabase Storage integration.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Technical Implementation:</w:t>
      </w:r>
      <w:r>
        <w:rPr>
          <w:rFonts w:ascii="Arial" w:hAnsi="Arial"/>
          <w:color w:val="1F2937"/>
          <w:sz w:val="21"/>
        </w:rPr>
        <w:t xml:space="preserve"> Uploaded images are streamed directly to a private Supabase Storage bucket (`avatars`), updating the `profiles.avatar_url` database column.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8.4 Multi-Step Booking Wizard — Step 1: Medical Specialty Selection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appointment booking wizard is structured as a 4-step progressive workflow: Specialty -&gt; Doctor -&gt; Slot -&gt; Symptoms. In Step 1, the patient selects the medical discipline matching their condition.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3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3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4: </w:t>
      </w:r>
      <w:r>
        <w:rPr>
          <w:rFonts w:ascii="Arial" w:hAnsi="Arial"/>
          <w:i/>
          <w:color w:val="64748B"/>
          <w:sz w:val="19"/>
        </w:rPr>
        <w:t>Step 1 of 4: Medical Specialty Selection — Selecting 'General Physician' to filter available certified medical professionals.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Clinical Logic:</w:t>
      </w:r>
      <w:r>
        <w:rPr>
          <w:rFonts w:ascii="Arial" w:hAnsi="Arial"/>
          <w:color w:val="1F2937"/>
          <w:sz w:val="21"/>
        </w:rPr>
        <w:t xml:space="preserve"> Filters verified clinicians by specialty tags before fetching calendar schedules.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8.5 Multi-Step Booking Wizard — Step 3: Date &amp; Consultation Slot Selection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Step 3 queries the backend `/api/v1/doctors/{id}/slots` endpoint to generate dynamic 30-minute consultation windows based on the doctor's weekly recurring availability, minus existing bookings and approved leaves.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5: </w:t>
      </w:r>
      <w:r>
        <w:rPr>
          <w:rFonts w:ascii="Arial" w:hAnsi="Arial"/>
          <w:i/>
          <w:color w:val="64748B"/>
          <w:sz w:val="19"/>
        </w:rPr>
        <w:t>Step 3 of 4: Date &amp; Slot Allocation — Dynamic calendar date selector (Wed, Aug 26) with real-time 30-minute time slot tiles (05:30 PM selected).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Concurrency Control:</w:t>
      </w:r>
      <w:r>
        <w:rPr>
          <w:rFonts w:ascii="Arial" w:hAnsi="Arial"/>
          <w:color w:val="1F2937"/>
          <w:sz w:val="21"/>
        </w:rPr>
        <w:t xml:space="preserve"> 30-minute interval blocks are computed in real time. Active bookings lock the slot instantly with transactional concurrency control to prevent double booking.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8.6 Multi-Step Booking Wizard — Step 4: Symptom Intake &amp; AI Context Preparation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In the final booking step, patients provide their chief health concern. The system provides one-click quick suggestion chips (e.g., 'Severe headache', 'Joint pain', 'Routine Health Checkup') or full descriptive text.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69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6: </w:t>
      </w:r>
      <w:r>
        <w:rPr>
          <w:rFonts w:ascii="Arial" w:hAnsi="Arial"/>
          <w:i/>
          <w:color w:val="64748B"/>
          <w:sz w:val="19"/>
        </w:rPr>
        <w:t>Step 4 of 4: Symptom Intake — Structured booking summary confirmation and detailed symptom intake ('I have severe pain in knee, due to heavy exercise.').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Data Transmission:</w:t>
      </w:r>
      <w:r>
        <w:rPr>
          <w:rFonts w:ascii="Arial" w:hAnsi="Arial"/>
          <w:color w:val="1F2937"/>
          <w:sz w:val="21"/>
        </w:rPr>
        <w:t xml:space="preserve"> The symptom description is packaged into the booking payload and dispatched to the Gemini AI pipeline for pre-visit clinical triage.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8.7 Gemini AI Pre-Visit Clinical Analysis &amp; Instant Booking Confirmation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Immediately after booking submission, the Gemini AI engine executes an asynchronous pre-visit analysis, extracting the chief complaint, classifying triage urgency, and formulating diagnostic questions for the doctor.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714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71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7: </w:t>
      </w:r>
      <w:r>
        <w:rPr>
          <w:rFonts w:ascii="Arial" w:hAnsi="Arial"/>
          <w:i/>
          <w:color w:val="64748B"/>
          <w:sz w:val="19"/>
        </w:rPr>
        <w:t>Booking Confirmation &amp; Gemini AI Pre-Visit Analysis — Automated chief complaint extraction, medium urgency classification, and 3 targeted diagnostic questions.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Extracted Chief Complaint:</w:t>
      </w:r>
      <w:r>
        <w:rPr>
          <w:rFonts w:ascii="Arial" w:hAnsi="Arial"/>
          <w:color w:val="1F2937"/>
          <w:sz w:val="21"/>
        </w:rPr>
        <w:t xml:space="preserve"> 'Severe knee pain following heavy exercise.'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Urgency Classification:</w:t>
      </w:r>
      <w:r>
        <w:rPr>
          <w:rFonts w:ascii="Arial" w:hAnsi="Arial"/>
          <w:color w:val="1F2937"/>
          <w:sz w:val="21"/>
        </w:rPr>
        <w:t xml:space="preserve"> 'Medium' (Non-emergency acute pain requiring musculoskeletal evaluation).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Generated Clinical Questions:</w:t>
      </w:r>
      <w:r>
        <w:rPr>
          <w:rFonts w:ascii="Arial" w:hAnsi="Arial"/>
          <w:color w:val="1F2937"/>
          <w:sz w:val="21"/>
        </w:rPr>
        <w:t xml:space="preserve"> Formulates targeted diagnostic prep questions:</w:t>
        <w:br/>
        <w:t xml:space="preserve">   1. Are you able to bear weight on the affected leg?</w:t>
        <w:br/>
        <w:t xml:space="preserve">   2. Did you hear or feel a popping sensation at the onset of the pain?</w:t>
        <w:br/>
        <w:t xml:space="preserve">   3. Have you noticed any visible swelling, bruising, or locking of the knee joint?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8.8 Active Consultations &amp; Telehealth Launchpad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patient dashboard reflects all confirmed sessions. Telehealth appointments feature an integrated 'Open Google Meet Call' launch button with real-time status badges.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468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8: </w:t>
      </w:r>
      <w:r>
        <w:rPr>
          <w:rFonts w:ascii="Arial" w:hAnsi="Arial"/>
          <w:i/>
          <w:color w:val="64748B"/>
          <w:sz w:val="19"/>
        </w:rPr>
        <w:t>Updated Patient Dashboard — Displaying 2 confirmed active appointments: an in-person clinic visit and a virtual consultation with integrated Google Meet launch button.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Dashboard Presentation:</w:t>
      </w:r>
      <w:r>
        <w:rPr>
          <w:rFonts w:ascii="Arial" w:hAnsi="Arial"/>
          <w:color w:val="1F2937"/>
          <w:sz w:val="21"/>
        </w:rPr>
        <w:t xml:space="preserve"> Displays two appointment modes side-by-side: In-Person Clinic Visit (Aug 26) and Virtual Telehealth Consultation (Aug 25) with 1-click video launch.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8.9 Two-Way Automated Google Calendar &amp; Google Meet Synchronization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The backend automatically provisions an official Google Calendar event with a dedicated Google Meet room, syncing with both doctor and patient mobile devices in real time.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13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13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40"/>
        <w:jc w:val="center"/>
      </w:pPr>
      <w:r>
        <w:rPr>
          <w:rFonts w:ascii="Arial" w:hAnsi="Arial"/>
          <w:b/>
          <w:color w:val="134E4A"/>
          <w:sz w:val="19"/>
        </w:rPr>
        <w:t xml:space="preserve">Figure 9: </w:t>
      </w:r>
      <w:r>
        <w:rPr>
          <w:rFonts w:ascii="Arial" w:hAnsi="Arial"/>
          <w:i/>
          <w:color w:val="64748B"/>
          <w:sz w:val="19"/>
        </w:rPr>
        <w:t>Mobile Google Calendar Synchronization — Automated event invite confirming participants, auto-generated Google Meet URL (meet.google.com/wrk-ijwr-qdt), and intake symptoms.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Automated Event Title:</w:t>
      </w:r>
      <w:r>
        <w:rPr>
          <w:rFonts w:ascii="Arial" w:hAnsi="Arial"/>
          <w:color w:val="1F2937"/>
          <w:sz w:val="21"/>
        </w:rPr>
        <w:t xml:space="preserve"> Creates event titled 'Appointment: Patient1 with Dr. Dr. Test' scheduled for 17:30-18:00.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Telehealth Room Provisioning:</w:t>
      </w:r>
      <w:r>
        <w:rPr>
          <w:rFonts w:ascii="Arial" w:hAnsi="Arial"/>
          <w:color w:val="1F2937"/>
          <w:sz w:val="21"/>
        </w:rPr>
        <w:t xml:space="preserve"> Automatically generates video link `meet.google.com/wrk-ijwr-qdt`.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Participant Dispatch:</w:t>
      </w:r>
      <w:r>
        <w:rPr>
          <w:rFonts w:ascii="Arial" w:hAnsi="Arial"/>
          <w:color w:val="1F2937"/>
          <w:sz w:val="21"/>
        </w:rPr>
        <w:t xml:space="preserve"> Invites organizer (`oynian@gmail.com`) and patient (`pranavsatish.khadse2023@vitstudent.ac.in`) with automated email updates.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Clinical Notes Attachment:</w:t>
      </w:r>
      <w:r>
        <w:rPr>
          <w:rFonts w:ascii="Arial" w:hAnsi="Arial"/>
          <w:color w:val="1F2937"/>
          <w:sz w:val="21"/>
        </w:rPr>
        <w:t xml:space="preserve"> Attaches intake symptom text directly into calendar notes for quick doctor reference.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9. Troubleshooting &amp; Operational Runbook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When operating the platform in staging or production, reference this runbook for resolving common integration errors: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E8575"/>
          <w:sz w:val="26"/>
        </w:rPr>
        <w:t>9.1 Common Integration Issues &amp; Mitigations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Google Calendar OAuth 'Invalid Grant' / Expired Token:</w:t>
      </w:r>
      <w:r>
        <w:rPr>
          <w:rFonts w:ascii="Arial" w:hAnsi="Arial"/>
          <w:color w:val="1F2937"/>
          <w:sz w:val="21"/>
        </w:rPr>
        <w:t xml:space="preserve"> Ensure `GOOGLE_CLIENT_ID` and `GOOGLE_CLIENT_SECRET` are valid. If token expires, verify that `access_type=offline` and `prompt=consent` were passed during the initial OAuth handshake to obtain a permanent refresh token.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CORS Policy Violation:</w:t>
      </w:r>
      <w:r>
        <w:rPr>
          <w:rFonts w:ascii="Arial" w:hAnsi="Arial"/>
          <w:color w:val="1F2937"/>
          <w:sz w:val="21"/>
        </w:rPr>
        <w:t xml:space="preserve"> Ensure FastAPI CORS middleware (`CORSMiddleware`) includes your frontend origin (e.g. `http://localhost:5173`) in `allow_origins` and `allow_credentials=True`.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Gemini API Rate Exceeded / 429 Quota Error:</w:t>
      </w:r>
      <w:r>
        <w:rPr>
          <w:rFonts w:ascii="Arial" w:hAnsi="Arial"/>
          <w:color w:val="1F2937"/>
          <w:sz w:val="21"/>
        </w:rPr>
        <w:t xml:space="preserve"> If rate limits are encountered, implement exponential backoff retry in the backend service and fallback to a default template summary if LLM service is temporarily degraded.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Supabase Database RLS Permission Denied:</w:t>
      </w:r>
      <w:r>
        <w:rPr>
          <w:rFonts w:ascii="Arial" w:hAnsi="Arial"/>
          <w:color w:val="1F2937"/>
          <w:sz w:val="21"/>
        </w:rPr>
        <w:t xml:space="preserve"> Verify that RLS policies permit `auth.uid() = patient_id` for SELECT/INSERT operations, or utilize the `SUPABASE_SECRET_KEY` on backend service routes.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• SMTP Relay Auth Failure (535 5.7.8):</w:t>
      </w:r>
      <w:r>
        <w:rPr>
          <w:rFonts w:ascii="Arial" w:hAnsi="Arial"/>
          <w:color w:val="1F2937"/>
          <w:sz w:val="21"/>
        </w:rPr>
        <w:t xml:space="preserve"> Ensure Gmail App Passwords (16 letters without spaces) are utilized rather than standard account passwords. Ensure port 587 with STARTTLS is enabled.</w:t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134E4A"/>
          <w:sz w:val="32"/>
        </w:rPr>
        <w:t>10. Security &amp; Production Deployment Guidelines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2937"/>
          <w:sz w:val="21"/>
        </w:rPr>
        <w:t>For enterprise and clinical production deployments, adhere to the following architecture hardening checklist: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1. SSL/TLS Encryption:</w:t>
      </w:r>
      <w:r>
        <w:rPr>
          <w:rFonts w:ascii="Arial" w:hAnsi="Arial"/>
          <w:color w:val="1F2937"/>
          <w:sz w:val="21"/>
        </w:rPr>
        <w:t xml:space="preserve"> Configure custom domain with automated SSL/TLS certificates via Let's Encrypt / Cloudflare.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2. Secret Management:</w:t>
      </w:r>
      <w:r>
        <w:rPr>
          <w:rFonts w:ascii="Arial" w:hAnsi="Arial"/>
          <w:color w:val="1F2937"/>
          <w:sz w:val="21"/>
        </w:rPr>
        <w:t xml:space="preserve"> Store all API keys in enterprise secret managers (e.g. AWS Secrets Manager, Google Secret Manager, or Render Environment Secrets).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3. HIPAA/GDPR Compliance:</w:t>
      </w:r>
      <w:r>
        <w:rPr>
          <w:rFonts w:ascii="Arial" w:hAnsi="Arial"/>
          <w:color w:val="1F2937"/>
          <w:sz w:val="21"/>
        </w:rPr>
        <w:t xml:space="preserve"> Encrypt all patient health information (PHI) at rest and ensure strict Row-Level Security policies are enforced on all clinical tables.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21"/>
        </w:rPr>
        <w:t>4. Docker Multi-Stage Builds:</w:t>
      </w:r>
      <w:r>
        <w:rPr>
          <w:rFonts w:ascii="Arial" w:hAnsi="Arial"/>
          <w:color w:val="1F2937"/>
          <w:sz w:val="21"/>
        </w:rPr>
        <w:t xml:space="preserve"> Build containerized production images using multi-stage Docker builds for minimal attack surface.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