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1D0FB7B4" w:rsidR="0085084E" w:rsidRPr="00925357" w:rsidRDefault="00376ED2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8C0B58">
        <w:rPr>
          <w:sz w:val="21"/>
          <w:szCs w:val="21"/>
        </w:rPr>
        <w:t>San Jose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8C0B58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D</w:t>
      </w:r>
      <w:proofErr w:type="spellEnd"/>
      <w:r w:rsidRPr="00925357">
        <w:rPr>
          <w:b/>
          <w:bCs/>
          <w:sz w:val="21"/>
          <w:szCs w:val="21"/>
        </w:rPr>
        <w:t xml:space="preserve">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06811"/>
    <w:rsid w:val="00210585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ED2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675EF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0B58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60E8B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15D4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2C4E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14CE3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497A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902F8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2024-06-26T23:11:00Z</dcterms:created>
  <dcterms:modified xsi:type="dcterms:W3CDTF">2024-06-26T23:21:00Z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