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— eng_01</w:t>
      </w:r>
    </w:p>
    <w:p>
      <w:pPr>
        <w:pStyle w:val="Heading1"/>
      </w:pPr>
      <w:r>
        <w:t>Tools and Materials</w:t>
      </w:r>
    </w:p>
    <w:p>
      <w:pPr>
        <w:pStyle w:val="ListBullet"/>
      </w:pPr>
      <w:r>
        <w:t>Ultrasound machine</w:t>
      </w:r>
    </w:p>
    <w:p>
      <w:pPr>
        <w:pStyle w:val="ListBullet"/>
      </w:pPr>
      <w:r>
        <w:t>Probe</w:t>
      </w:r>
    </w:p>
    <w:p>
      <w:pPr>
        <w:pStyle w:val="Heading1"/>
      </w:pPr>
      <w:r>
        <w:t>Safety Points</w:t>
      </w:r>
    </w:p>
    <w:p>
      <w:pPr>
        <w:pStyle w:val="ListBullet"/>
      </w:pPr>
      <w:r>
        <w:t>None mentioned in transcript</w:t>
      </w:r>
    </w:p>
    <w:p>
      <w:pPr>
        <w:pStyle w:val="Heading1"/>
      </w:pPr>
      <w:r>
        <w:t>Procedure Steps</w:t>
      </w:r>
    </w:p>
    <w:p>
      <w:r>
        <w:rPr>
          <w:sz w:val="22"/>
        </w:rPr>
        <w:t>1. Demonstrate on arm (at 16.2s)</w:t>
      </w:r>
    </w:p>
    <w:p>
      <w:r>
        <w:drawing>
          <wp:inline xmlns:a="http://schemas.openxmlformats.org/drawingml/2006/main" xmlns:pic="http://schemas.openxmlformats.org/drawingml/2006/picture">
            <wp:extent cx="3200400" cy="568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1-Scene-00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eng_01-Scene-002-01.jpg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