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mc:Ignorable="w14">
  <w:body>
    <w:p>
      <w:pPr>
        <w:pStyle w:val="Title"/>
        <w:spacing w:before="80" w:after="40" w:line="242" w:lineRule="auto"/>
        <w:jc w:val="center"/>
        <w:ind w:left="579" w:right="577"/>
      </w:pPr>
      <w:r>
        <w:rPr>
          <w:sz w:val="48"/>
          <w:szCs w:val="48"/>
        </w:rPr>
        <w:t>Vox: A Hybrid Blockchain E-Voting Prototype with Wallet-Based Ballot Casting and Off-Chain Identity Governance</w:t>
      </w:r>
    </w:p>
    <w:p>
      <w:pPr>
        <w:pStyle w:val="BodyText"/>
        <w:spacing w:before="3" w:after="0"/>
        <w:ind w:left="0"/>
        <w:jc w:val="left"/>
      </w:pPr>
    </w:p>
    <w:p>
      <w:pPr>
        <w:pStyle w:val="BodyText"/>
        <w:spacing w:before="0" w:after="0"/>
        <w:jc w:val="left"/>
        <w:sectPr>
          <w:type w:val="continuous"/>
          <w:pgSz w:w="12240" w:h="15840"/>
          <w:pgMar w:top="920" w:bottom="280" w:left="720" w:right="720"/>
          <w:cols w:num="3" w:equalWidth="0"/>
        </w:sectPr>
      </w:pPr>
    </w:p>
    <w:p>
      <w:pPr>
        <w:spacing w:before="115" w:after="0"/>
        <w:jc w:val="center"/>
      </w:pPr>
      <w:r>
        <w:rPr>
          <w:sz w:val="22"/>
          <w:szCs w:val="22"/>
        </w:rPr>
        <w:t>1st Hetanshi Shah</w:t>
      </w:r>
    </w:p>
    <w:p>
      <w:pPr>
        <w:spacing w:before="15" w:after="0"/>
        <w:jc w:val="center"/>
      </w:pPr>
      <w:r>
        <w:rPr>
          <w:i/>
          <w:sz w:val="20"/>
          <w:szCs w:val="20"/>
        </w:rPr>
        <w:t>dept. name of organization (of Aff.) name of organization (of Aff.)</w:t>
      </w:r>
    </w:p>
    <w:p>
      <w:pPr>
        <w:pStyle w:val="BodyText"/>
        <w:spacing w:before="1" w:after="0"/>
        <w:jc w:val="center"/>
      </w:pPr>
      <w:r>
        <w:rPr>
          <w:sz w:val="20"/>
          <w:szCs w:val="20"/>
        </w:rPr>
        <w:t>City, Country</w:t>
      </w:r>
    </w:p>
    <w:p>
      <w:pPr>
        <w:pStyle w:val="BodyText"/>
        <w:spacing w:before="16" w:after="0"/>
        <w:jc w:val="center"/>
      </w:pPr>
      <w:r>
        <w:rPr>
          <w:sz w:val="20"/>
          <w:szCs w:val="20"/>
        </w:rPr>
        <w:t>email address or ORCID</w:t>
      </w:r>
    </w:p>
    <w:p>
      <w:pPr>
        <w:spacing w:before="115" w:after="0"/>
        <w:jc w:val="center"/>
      </w:pPr>
      <w:r>
        <w:br w:type="column"/>
      </w:r>
      <w:r>
        <w:rPr>
          <w:sz w:val="22"/>
          <w:szCs w:val="22"/>
        </w:rPr>
        <w:t>2nd Sambit Mazumder</w:t>
      </w:r>
    </w:p>
    <w:p>
      <w:pPr>
        <w:spacing w:before="15" w:after="0"/>
        <w:jc w:val="center"/>
      </w:pPr>
      <w:r>
        <w:rPr>
          <w:i/>
          <w:sz w:val="20"/>
          <w:szCs w:val="20"/>
        </w:rPr>
        <w:t>dept. name of organization (of Aff.) name of organization (of Aff.)</w:t>
      </w:r>
    </w:p>
    <w:p>
      <w:pPr>
        <w:pStyle w:val="BodyText"/>
        <w:spacing w:before="1" w:after="0"/>
        <w:jc w:val="center"/>
      </w:pPr>
      <w:r>
        <w:rPr>
          <w:sz w:val="20"/>
          <w:szCs w:val="20"/>
        </w:rPr>
        <w:t>City, Country</w:t>
      </w:r>
    </w:p>
    <w:p>
      <w:pPr>
        <w:pStyle w:val="BodyText"/>
        <w:spacing w:before="16" w:after="0"/>
        <w:jc w:val="center"/>
      </w:pPr>
      <w:r>
        <w:rPr>
          <w:sz w:val="20"/>
          <w:szCs w:val="20"/>
        </w:rPr>
        <w:t>email address or ORCID</w:t>
      </w:r>
    </w:p>
    <w:p>
      <w:pPr>
        <w:spacing w:before="115" w:after="0"/>
        <w:jc w:val="center"/>
      </w:pPr>
      <w:r>
        <w:br w:type="column"/>
      </w:r>
      <w:r>
        <w:rPr>
          <w:sz w:val="22"/>
          <w:szCs w:val="22"/>
        </w:rPr>
        <w:t>3rd Ashirwad Kathavate</w:t>
      </w:r>
    </w:p>
    <w:p>
      <w:pPr>
        <w:spacing w:before="15" w:after="0"/>
        <w:jc w:val="center"/>
      </w:pPr>
      <w:r>
        <w:rPr>
          <w:i/>
          <w:sz w:val="20"/>
          <w:szCs w:val="20"/>
        </w:rPr>
        <w:t>dept. name of organization (of Aff.) name of organization (of Aff.)</w:t>
      </w:r>
    </w:p>
    <w:p>
      <w:pPr>
        <w:pStyle w:val="BodyText"/>
        <w:spacing w:before="1" w:after="0"/>
        <w:jc w:val="center"/>
      </w:pPr>
      <w:r>
        <w:rPr>
          <w:sz w:val="20"/>
          <w:szCs w:val="20"/>
        </w:rPr>
        <w:t>City, Country</w:t>
      </w:r>
    </w:p>
    <w:p>
      <w:pPr>
        <w:pStyle w:val="BodyText"/>
        <w:spacing w:before="16" w:after="0"/>
        <w:jc w:val="center"/>
        <w:sectPr>
          <w:type w:val="continuous"/>
          <w:pgSz w:w="12240" w:h="15840"/>
          <w:pgMar w:top="920" w:bottom="280" w:left="720" w:right="720"/>
          <w:cols w:num="2" w:equalWidth="0"/>
        </w:sectPr>
      </w:pPr>
      <w:r>
        <w:rPr>
          <w:sz w:val="20"/>
          <w:szCs w:val="20"/>
        </w:rPr>
        <w:t>email address or ORCID</w:t>
      </w:r>
    </w:p>
    <w:p>
      <w:pPr>
        <w:pStyle w:val="BodyText"/>
        <w:spacing w:before="0" w:after="0"/>
        <w:jc w:val="left"/>
      </w:pPr>
    </w:p>
    <w:p>
      <w:pPr>
        <w:pStyle w:val="BodyText"/>
        <w:spacing w:before="171" w:after="0"/>
        <w:jc w:val="left"/>
      </w:pPr>
    </w:p>
    <w:p>
      <w:pPr>
        <w:spacing w:before="115" w:after="0"/>
        <w:jc w:val="center"/>
      </w:pPr>
      <w:r>
        <w:rPr>
          <w:sz w:val="22"/>
          <w:szCs w:val="22"/>
        </w:rPr>
        <w:t>4th Vishal Mane</w:t>
      </w:r>
    </w:p>
    <w:p>
      <w:pPr>
        <w:spacing w:before="15" w:after="0"/>
        <w:jc w:val="center"/>
      </w:pPr>
      <w:r>
        <w:rPr>
          <w:i/>
          <w:sz w:val="20"/>
          <w:szCs w:val="20"/>
        </w:rPr>
        <w:t>dept. name of organization (of Aff.) name of organization (of Aff.)</w:t>
      </w:r>
    </w:p>
    <w:p>
      <w:pPr>
        <w:pStyle w:val="BodyText"/>
        <w:spacing w:before="1" w:after="0"/>
        <w:jc w:val="center"/>
      </w:pPr>
      <w:r>
        <w:rPr>
          <w:sz w:val="20"/>
          <w:szCs w:val="20"/>
        </w:rPr>
        <w:t>City, Country</w:t>
      </w:r>
    </w:p>
    <w:p>
      <w:pPr>
        <w:pStyle w:val="BodyText"/>
        <w:spacing w:before="16" w:after="0"/>
        <w:jc w:val="center"/>
      </w:pPr>
      <w:r>
        <w:rPr>
          <w:sz w:val="20"/>
          <w:szCs w:val="20"/>
        </w:rPr>
        <w:t>email address or ORCID</w:t>
      </w:r>
    </w:p>
    <w:p>
      <w:pPr>
        <w:spacing w:before="115" w:after="0"/>
        <w:jc w:val="center"/>
      </w:pPr>
      <w:r>
        <w:br w:type="column"/>
      </w:r>
      <w:r>
        <w:rPr>
          <w:sz w:val="22"/>
          <w:szCs w:val="22"/>
        </w:rPr>
        <w:t>5th Mrs. Soniya Khatu</w:t>
      </w:r>
    </w:p>
    <w:p>
      <w:pPr>
        <w:spacing w:before="15" w:after="0"/>
        <w:jc w:val="center"/>
      </w:pPr>
      <w:r>
        <w:rPr>
          <w:i/>
          <w:sz w:val="20"/>
          <w:szCs w:val="20"/>
        </w:rPr>
        <w:t>dept. name of organization (of Aff.) name of organization (of Aff.)</w:t>
      </w:r>
    </w:p>
    <w:p>
      <w:pPr>
        <w:pStyle w:val="BodyText"/>
        <w:spacing w:before="1" w:after="0"/>
        <w:jc w:val="center"/>
      </w:pPr>
      <w:r>
        <w:rPr>
          <w:sz w:val="20"/>
          <w:szCs w:val="20"/>
        </w:rPr>
        <w:t>City, Country</w:t>
      </w:r>
    </w:p>
    <w:p>
      <w:pPr>
        <w:pStyle w:val="BodyText"/>
        <w:spacing w:before="16" w:after="0"/>
        <w:jc w:val="center"/>
        <w:sectPr>
          <w:type w:val="continuous"/>
          <w:pgSz w:w="12240" w:h="15840"/>
          <w:pgMar w:top="920" w:bottom="280" w:left="720" w:right="720"/>
          <w:cols w:num="2" w:equalWidth="0"/>
        </w:sectPr>
      </w:pPr>
      <w:r>
        <w:rPr>
          <w:sz w:val="20"/>
          <w:szCs w:val="20"/>
        </w:rPr>
        <w:t>email address or ORCID</w:t>
      </w:r>
    </w:p>
    <w:p>
      <w:pPr>
        <w:pStyle w:val="BodyText"/>
        <w:spacing w:before="0" w:after="0"/>
        <w:jc w:val="left"/>
      </w:pPr>
    </w:p>
    <w:p>
      <w:pPr>
        <w:pStyle w:val="BodyText"/>
        <w:spacing w:before="171" w:after="0"/>
        <w:jc w:val="left"/>
      </w:pPr>
    </w:p>
    <w:p>
      <w:pPr>
        <w:pStyle w:val="BodyText"/>
        <w:spacing w:before="90" w:after="0" w:line="230" w:lineRule="auto"/>
        <w:ind w:left="259" w:firstLine="199"/>
        <w:jc w:val="both"/>
      </w:pPr>
      <w:r>
        <w:rPr>
          <w:b/>
          <w:i/>
          <w:sz w:val="18"/>
          <w:szCs w:val="18"/>
        </w:rPr>
        <w:t>Abstract—</w:t>
      </w:r>
      <w:r>
        <w:rPr>
          <w:b/>
          <w:sz w:val="18"/>
          <w:szCs w:val="18"/>
        </w:rPr>
        <w:t>Electronic voting remains a difficult systems problem because integrity, transparency, eligibility verification, privacy, and usability often pull in different directions. Purely centralized online voting platforms simplify deployment but require substantial trust in administrators, while fully on-chain voting schemes improve auditability at the cost of privacy, scalability, and operational complexity. This paper presents Vox, a hybrid blockchain e-voting prototype that combines an Ethereum smart contract for ballot-state enforcement with an off-chain identity and administration service implemented in Node.js, SQLite, and React. Vox is designed as a learning-oriented but technically coherent architecture in which voter registration, election creation, and administrative delegation are handled off-chain, while vote casting, election opening and closing, candidate tallies, and one-vote-per-wallet enforcement are performed on-chain. The system separates voter and administrator workflows, uses wallet signatures for privileged backend actions, and exposes a contract-driven frontend that reads live election state directly from the blockchain. We analyze the architecture, trust boundaries, and implementation decisions of Vox, and we evaluate the current artifact through source inspection, build validation, and test-suite analysis. The study shows that Vox provides a useful intermediate design point between fully centralized and privacy-preserving cryptographic voting systems, while also exposing the concrete limitations that prevent simple blockchain ballots from being treated as production-grade public election infrastructure.</w:t>
      </w:r>
    </w:p>
    <w:p>
      <w:pPr>
        <w:pStyle w:val="BodyText"/>
        <w:spacing w:before="90" w:after="0" w:line="230" w:lineRule="auto"/>
        <w:ind w:left="259" w:firstLine="199"/>
        <w:jc w:val="both"/>
      </w:pPr>
      <w:r>
        <w:rPr>
          <w:b/>
          <w:sz w:val="18"/>
          <w:szCs w:val="18"/>
        </w:rPr>
        <w:t>Index Terms—</w:t>
      </w:r>
      <w:r>
        <w:rPr>
          <w:b/>
          <w:sz w:val="18"/>
          <w:szCs w:val="18"/>
        </w:rPr>
        <w:t>Blockchain voting, smart contracts, Ethereum, electronic voting, hybrid systems, wallet authentication, election integrity, role-based administration</w:t>
      </w:r>
    </w:p>
    <w:p>
      <w:pPr>
        <w:pStyle w:val="BodyText"/>
        <w:spacing w:before="140" w:after="30" w:line="220" w:lineRule="auto"/>
        <w:jc w:val="center"/>
      </w:pPr>
      <w:r>
        <w:rPr>
          <w:b/>
          <w:sz w:val="20"/>
          <w:szCs w:val="20"/>
        </w:rPr>
        <w:t>I. INTRODUCTION</w:t>
      </w:r>
    </w:p>
    <w:p>
      <w:pPr>
        <w:pStyle w:val="BodyText"/>
        <w:spacing w:before="70" w:after="0" w:line="230" w:lineRule="auto"/>
        <w:ind w:left="259" w:firstLine="199"/>
        <w:jc w:val="both"/>
      </w:pPr>
      <w:r>
        <w:rPr>
          <w:sz w:val="20"/>
          <w:szCs w:val="20"/>
        </w:rPr>
        <w:t>Trustworthy digital voting systems must simultaneously address eligibility, uniqueness of ballot casting, transparency of tallying, privacy of voter intent, resistance to unauthorized administrative actions, and operational usability. In practice, these goals are difficult to satisfy within a single architectural layer. Traditional web applications can offer familiar administrative workflows and identity integration, but they centralize control over election state and result publication. Blockchain systems offer immutable state transitions and publicly auditable execution, but they do not automatically solve voter authentication, ballot secrecy, coercion resistance, or realistic governance over who may initiate and manage an election [1], [6].</w:t>
      </w:r>
    </w:p>
    <w:p>
      <w:pPr>
        <w:pStyle w:val="BodyText"/>
        <w:spacing w:before="70" w:after="0" w:line="230" w:lineRule="auto"/>
        <w:ind w:left="259" w:firstLine="199"/>
        <w:jc w:val="both"/>
      </w:pPr>
      <w:r>
        <w:rPr>
          <w:sz w:val="20"/>
          <w:szCs w:val="20"/>
        </w:rPr>
        <w:t>Prior systems illustrate this design tension. Helios demonstrated that web-based open-audit voting can make verifiability accessible in low-coercion settings, but it relies on dedicated cryptographic protocols and assumptions distinct from commodity smart-contract stacks [2]. Smart-contract voting systems on Ethereum have shown how on-chain enforcement can remove dependence on a trusted tallying party, yet the research literature also documents persistent tradeoffs in privacy, gas cost, and scalability [3]-[5]. Meanwhile, operational online systems increasingly depend on APIs and role-based administration layers whose security posture must also be considered, especially in light of widely recognized authorization and resource-consumption risks [7].</w:t>
      </w:r>
    </w:p>
    <w:p>
      <w:pPr>
        <w:pStyle w:val="BodyText"/>
        <w:spacing w:before="70" w:after="0" w:line="230" w:lineRule="auto"/>
        <w:ind w:left="259" w:firstLine="199"/>
        <w:jc w:val="both"/>
      </w:pPr>
      <w:r>
        <w:rPr>
          <w:sz w:val="20"/>
          <w:szCs w:val="20"/>
        </w:rPr>
        <w:t>Vox explores a practical midpoint. Rather than claiming to solve end-to-end verifiable national-scale voting, Vox implements a hybrid model: a Solidity election contract stores election state and enforces basic invariants, while a Node.js backend manages a DigiLocker-like citizen registry, administrator delegation, and election deployment records. A React frontend then surfaces two role-specific user journeys, one for voters and one for administrators, with MetaMask used as the wallet interface.</w:t>
      </w:r>
    </w:p>
    <w:p>
      <w:pPr>
        <w:pStyle w:val="BodyText"/>
        <w:spacing w:before="70" w:after="0" w:line="230" w:lineRule="auto"/>
        <w:ind w:left="259" w:firstLine="199"/>
        <w:jc w:val="both"/>
      </w:pPr>
      <w:r>
        <w:rPr>
          <w:sz w:val="20"/>
          <w:szCs w:val="20"/>
        </w:rPr>
        <w:t>The central argument of this paper is that Vox is valuable as a systems prototype precisely because it exposes the boundary between what a simple blockchain ballot can guarantee and what must still be trusted or redesigned off-chain. The paper makes three contributions. First, it documents the architecture of Vox as an example of hybrid e-voting design grounded in a working code artifact rather than a purely conceptual model. Second, it analyzes the system's trust model and security properties, including which guarantees are genuinely improved by the blockchain layer and which remain dependent on off-chain governance. Third, it evaluates the present implementation using artifact-based evidence, identifying both the strengths of the current prototype and the engineering gaps that must be closed before stronger deployment claims could be justified.</w:t>
      </w:r>
    </w:p>
    <w:p>
      <w:pPr>
        <w:pStyle w:val="BodyText"/>
        <w:spacing w:before="140" w:after="30" w:line="220" w:lineRule="auto"/>
        <w:jc w:val="center"/>
      </w:pPr>
      <w:r>
        <w:rPr>
          <w:b/>
          <w:sz w:val="20"/>
          <w:szCs w:val="20"/>
        </w:rPr>
        <w:t>II. RELATED WORK</w:t>
      </w:r>
    </w:p>
    <w:p>
      <w:pPr>
        <w:pStyle w:val="BodyText"/>
        <w:spacing w:before="70" w:after="0" w:line="230" w:lineRule="auto"/>
        <w:ind w:left="259" w:firstLine="199"/>
        <w:jc w:val="both"/>
      </w:pPr>
      <w:r>
        <w:rPr>
          <w:sz w:val="20"/>
          <w:szCs w:val="20"/>
        </w:rPr>
        <w:t>Research on digital voting spans centralized web platforms, cryptographically verifiable election systems, and blockchain-based protocols. Helios is one of the best-known open-audit web voting systems and showed that verifiability can be brought to practical elections such as student government and community organizations [2]. Its contribution was not blockchain deployment but the demonstration that auditability and web usability can coexist in some settings. Vox shares Helios's interest in practical deployment, but differs in its enforcement substrate: it relies on Ethereum smart contracts for lifecycle transitions and tally state rather than encrypted ballot proofs and mixnet-style auditing.</w:t>
      </w:r>
    </w:p>
    <w:p>
      <w:pPr>
        <w:pStyle w:val="BodyText"/>
        <w:spacing w:before="70" w:after="0" w:line="230" w:lineRule="auto"/>
        <w:ind w:left="259" w:firstLine="199"/>
        <w:jc w:val="both"/>
      </w:pPr>
      <w:r>
        <w:rPr>
          <w:sz w:val="20"/>
          <w:szCs w:val="20"/>
        </w:rPr>
        <w:t>Blockchain-based voting systems seek to capitalize on immutability and decentralized execution. McCorry et al. implemented the Open Vote Network on Ethereum and showed that self-tallying voting with strong privacy properties could be expressed as smart contracts, while also acknowledging the associated financial and computational costs [3]. Subsequent work by Seifelnasr et al. and ElSheikh and Youssef highlighted the scalability limits of naive on-chain execution and proposed increasingly sophisticated off-chain computation and zero-knowledge constructions to preserve privacy and verifiability at larger scales [4], [5]. These systems are substantially more advanced than Vox in cryptographic sophistication, but they also require more complex ceremonies, proofs, and voter interactions. Vox instead prioritizes architectural clarity and a lower barrier to implementation.</w:t>
      </w:r>
    </w:p>
    <w:p>
      <w:pPr>
        <w:pStyle w:val="BodyText"/>
        <w:spacing w:before="70" w:after="0" w:line="230" w:lineRule="auto"/>
        <w:ind w:left="259" w:firstLine="199"/>
        <w:jc w:val="both"/>
      </w:pPr>
      <w:r>
        <w:rPr>
          <w:sz w:val="20"/>
          <w:szCs w:val="20"/>
        </w:rPr>
        <w:t>Survey work further emphasizes that blockchain is not a universal answer for e-voting. Jafar et al. identify recurring challenges around privacy, coercion resistance, scalability, voter authentication, and legal or governance integration in blockchain election systems [6]. Vox reflects these same tensions. It improves transparency of state changes and result aggregation, but it does not provide encrypted ballots, unlinkable identities, or coercion resistance. In that sense, Vox should be situated not among cryptographically complete election protocols, but among educational and prototype systems that clarify the engineering tradeoffs of hybrid governance.</w:t>
      </w:r>
    </w:p>
    <w:p>
      <w:pPr>
        <w:pStyle w:val="BodyText"/>
        <w:spacing w:before="70" w:after="0" w:line="230" w:lineRule="auto"/>
        <w:ind w:left="259" w:firstLine="199"/>
        <w:jc w:val="both"/>
      </w:pPr>
      <w:r>
        <w:rPr>
          <w:sz w:val="20"/>
          <w:szCs w:val="20"/>
        </w:rPr>
        <w:t>The off-chain service layer of Vox also connects to broader security literature. Modern administrative services are API-driven, and their exposure creates risks such as broken function-level authorization and unrestricted resource consumption, both emphasized in the OWASP API Security Top 10 2023 edition [7]. Research on tools such as RESTler similarly shows that stateful API testing is necessary because authorization and workflow bugs often arise only across multi-step sequences rather than isolated requests [8]. Vox's backend is small, but it still illustrates how election integrity depends not only on smart-contract logic but also on the surrounding API and privilege model.</w:t>
      </w:r>
    </w:p>
    <w:p>
      <w:pPr>
        <w:pStyle w:val="BodyText"/>
        <w:spacing w:before="140" w:after="30" w:line="220" w:lineRule="auto"/>
        <w:jc w:val="center"/>
      </w:pPr>
      <w:r>
        <w:rPr>
          <w:b/>
          <w:sz w:val="20"/>
          <w:szCs w:val="20"/>
        </w:rPr>
        <w:t>III. DESIGN OBJECTIVES AND THREAT MODEL</w:t>
      </w:r>
    </w:p>
    <w:p>
      <w:pPr>
        <w:pStyle w:val="BodyText"/>
        <w:spacing w:before="70" w:after="0" w:line="230" w:lineRule="auto"/>
        <w:ind w:left="259" w:firstLine="199"/>
        <w:jc w:val="both"/>
      </w:pPr>
      <w:r>
        <w:rPr>
          <w:sz w:val="20"/>
          <w:szCs w:val="20"/>
        </w:rPr>
        <w:t>Vox is built around four design objectives. The first is transparent ballot-state enforcement. Actions that materially affect the tally or election lifecycle, such as opening voting, closing voting, and recording a vote, should execute through immutable smart-contract logic. The second is manageable administration. Real election-like systems require identity onboarding, role delegation, and election creation workflows that are cumbersome to model entirely on-chain. Vox therefore keeps these processes in an off-chain service layer. The third is wallet-centric usability. Rather than introducing a custom credential system for ballot casting, Vox uses Ethereum wallets as the mechanism through which a voter proves control over an eligible account. The fourth is separation of concerns in the user interface. Voter-facing actions and administrator-facing actions are presented on distinct routes so that the ballot page remains simpler and less error-prone.</w:t>
      </w:r>
    </w:p>
    <w:p>
      <w:pPr>
        <w:pStyle w:val="BodyText"/>
        <w:spacing w:before="70" w:after="0" w:line="230" w:lineRule="auto"/>
        <w:ind w:left="259" w:firstLine="199"/>
        <w:jc w:val="both"/>
      </w:pPr>
      <w:r>
        <w:rPr>
          <w:sz w:val="20"/>
          <w:szCs w:val="20"/>
        </w:rPr>
        <w:t>The trust model is correspondingly hybrid. The Ethereum contract is trusted to enforce syntactic election invariants correctly once deployed. The contract administrator is trusted to register voters and control the opening and closing of the vote. The backend deployer is trusted to manage privileged backend operations such as appointing new administrators and creating new election instances. The SQLite-based identity registry is trusted to represent legitimate eligible citizens, because Vox does not integrate with a real governmental identity service. MetaMask or any compatible wallet is trusted to protect private keys locally on the client.</w:t>
      </w:r>
    </w:p>
    <w:p>
      <w:pPr>
        <w:pStyle w:val="BodyText"/>
        <w:spacing w:before="70" w:after="0" w:line="230" w:lineRule="auto"/>
        <w:ind w:left="259" w:firstLine="199"/>
        <w:jc w:val="both"/>
      </w:pPr>
      <w:r>
        <w:rPr>
          <w:sz w:val="20"/>
          <w:szCs w:val="20"/>
        </w:rPr>
        <w:t>The main adversaries considered by Vox are unauthorized voters, unauthorized administrators, duplicate voters, and interface-level confusion between roles. Unauthorized voters may attempt to vote without being registered, vote more than once, or vote after the election is closed. Unauthorized administrators may attempt to call privileged backend routes without valid signatures or invoke on-chain admin functions from a non-admin wallet. Vox counters these behaviors with contract-level access checks, one-vote-per-wallet state tracking, and signed backend challenges tied to recent timestamps. The frontend additionally provides role-sensitive guidance to reduce mistaken user actions.</w:t>
      </w:r>
    </w:p>
    <w:p>
      <w:pPr>
        <w:pStyle w:val="BodyText"/>
        <w:spacing w:before="70" w:after="0" w:line="230" w:lineRule="auto"/>
        <w:ind w:left="259" w:firstLine="199"/>
        <w:jc w:val="both"/>
      </w:pPr>
      <w:r>
        <w:rPr>
          <w:sz w:val="20"/>
          <w:szCs w:val="20"/>
        </w:rPr>
        <w:t>At the same time, several threats are explicitly out of scope in the current prototype. Vox does not protect ballot privacy against blockchain observers because the vote transaction includes the candidate index as calldata. Vox does not provide end-to-end verifiability, mixnets, homomorphic tallying, or zero-knowledge proofs. It also does not solve coercion resistance, vote buying, denial-of-service at the chain or wallet layer, or malicious manipulation of the off-chain citizen database. These omissions are not incidental; they define the boundary of what Vox currently is.</w:t>
      </w:r>
    </w:p>
    <w:p>
      <w:pPr>
        <w:pStyle w:val="BodyText"/>
        <w:spacing w:before="140" w:after="30" w:line="220" w:lineRule="auto"/>
        <w:jc w:val="center"/>
      </w:pPr>
      <w:r>
        <w:rPr>
          <w:b/>
          <w:sz w:val="20"/>
          <w:szCs w:val="20"/>
        </w:rPr>
        <w:t>IV. SYSTEM ARCHITECTURE</w:t>
      </w:r>
    </w:p>
    <w:p>
      <w:pPr>
        <w:pStyle w:val="BodyText"/>
        <w:spacing w:before="70" w:after="0" w:line="230" w:lineRule="auto"/>
        <w:ind w:left="259" w:firstLine="199"/>
        <w:jc w:val="both"/>
      </w:pPr>
      <w:r>
        <w:rPr>
          <w:sz w:val="20"/>
          <w:szCs w:val="20"/>
        </w:rPr>
        <w:t>Vox consists of three principal layers: an Ethereum smart contract that governs ballot state, an Express backend that manages identity and administrative workflows, and a React frontend that coordinates wallet interaction and presents role-specific election flows.</w:t>
      </w:r>
    </w:p>
    <w:p>
      <w:pPr>
        <w:pStyle w:val="BodyText"/>
        <w:spacing w:before="100" w:after="25" w:line="220" w:lineRule="auto"/>
        <w:jc w:val="left"/>
      </w:pPr>
      <w:r>
        <w:rPr>
          <w:i/>
          <w:sz w:val="20"/>
          <w:szCs w:val="20"/>
        </w:rPr>
        <w:t>A. Smart-Contract Layer</w:t>
      </w:r>
    </w:p>
    <w:p>
      <w:pPr>
        <w:pStyle w:val="BodyText"/>
        <w:spacing w:before="70" w:after="0" w:line="230" w:lineRule="auto"/>
        <w:ind w:left="259" w:firstLine="199"/>
        <w:jc w:val="both"/>
      </w:pPr>
      <w:r>
        <w:rPr>
          <w:sz w:val="20"/>
          <w:szCs w:val="20"/>
        </w:rPr>
        <w:t>The contract layer is intentionally compact. The `Election` contract stores the administrator address, election name, a `votingOpen` flag, a dynamic candidate list, and two mappings that record whether an address is a registered voter and whether it has already voted. The core functions are `registerVoter`, `openVoting`, `closeVoting`, and `vote`. Access control is simple and explicit: only the administrator may register voters or change the election state, while any registered voter may cast exactly one vote when voting is open. This yields strong guarantees for uniqueness of wallet participation and integrity of tally updates, because the contract itself increments candidate vote counts and marks a voter as having voted.</w:t>
      </w:r>
    </w:p>
    <w:p>
      <w:pPr>
        <w:pStyle w:val="BodyText"/>
        <w:spacing w:before="70" w:after="0" w:line="230" w:lineRule="auto"/>
        <w:ind w:left="259" w:firstLine="199"/>
        <w:jc w:val="both"/>
      </w:pPr>
      <w:r>
        <w:rPr>
          <w:sz w:val="20"/>
          <w:szCs w:val="20"/>
        </w:rPr>
        <w:t>This design makes Vox easy to reason about. The critical voting invariants are local, transparent, and covered by direct `require` checks: the election name must be non-empty, candidate names must be defined, the candidate index must be valid, and duplicate registration or duplicate voting is rejected. The cost of this simplicity is that ballots are not secret. Unlike privacy-preserving protocols that publish encrypted or obfuscated ballot material [3]-[5], Vox publishes openly interpretable vote intent through the submitted function argument.</w:t>
      </w:r>
    </w:p>
    <w:p>
      <w:pPr>
        <w:pStyle w:val="BodyText"/>
        <w:spacing w:before="100" w:after="25" w:line="220" w:lineRule="auto"/>
        <w:jc w:val="left"/>
      </w:pPr>
      <w:r>
        <w:rPr>
          <w:i/>
          <w:sz w:val="20"/>
          <w:szCs w:val="20"/>
        </w:rPr>
        <w:t>B. Backend Identity and Administration Layer</w:t>
      </w:r>
    </w:p>
    <w:p>
      <w:pPr>
        <w:pStyle w:val="BodyText"/>
        <w:spacing w:before="70" w:after="0" w:line="230" w:lineRule="auto"/>
        <w:ind w:left="259" w:firstLine="199"/>
        <w:jc w:val="both"/>
      </w:pPr>
      <w:r>
        <w:rPr>
          <w:sz w:val="20"/>
          <w:szCs w:val="20"/>
        </w:rPr>
        <w:t>The backend is an Express application backed by SQLite. It manages three tables: `citizens`, `admins`, and `elections`. Citizens are seeded from a local JSON file, creating a stand-in for a digital identity registry. When a user submits an Aadhaar-style identifier and a wallet address to the verification route, the backend validates both formats, checks that the identity is not already linked, confirms that the wallet is not already assigned elsewhere, attempts on-chain voter registration, and then persists the wallet-to-citizen association in SQLite. This sequence demonstrates a common hybrid pattern: authoritative identity remains off-chain, but final voting eligibility is anchored on-chain.</w:t>
      </w:r>
    </w:p>
    <w:p>
      <w:pPr>
        <w:pStyle w:val="BodyText"/>
        <w:spacing w:before="70" w:after="0" w:line="230" w:lineRule="auto"/>
        <w:ind w:left="259" w:firstLine="199"/>
        <w:jc w:val="both"/>
      </w:pPr>
      <w:r>
        <w:rPr>
          <w:sz w:val="20"/>
          <w:szCs w:val="20"/>
        </w:rPr>
        <w:t>Administrative endpoints are protected through signed challenges. The frontend asks MetaMask to sign a timestamped string of the form `vox-admin-{timestamp}`. The backend verifies the signature, enforces a five-minute freshness window, recovers the wallet address, and then checks whether that wallet is either the deployer or an appointed admin. This mechanism is lightweight compared with full OAuth or certificate-based schemes, but it is well aligned with a wallet-first application model. It also provides better provenance than a simple session cookie because every privileged action originates from a cryptographically verified wallet signature.</w:t>
      </w:r>
    </w:p>
    <w:p>
      <w:pPr>
        <w:pStyle w:val="BodyText"/>
        <w:spacing w:before="70" w:after="0" w:line="230" w:lineRule="auto"/>
        <w:ind w:left="259" w:firstLine="199"/>
        <w:jc w:val="both"/>
      </w:pPr>
      <w:r>
        <w:rPr>
          <w:sz w:val="20"/>
          <w:szCs w:val="20"/>
        </w:rPr>
        <w:t>The backend exposes public routes for status inspection and latest-election discovery, plus privileged routes for listing or inserting citizens, appointing or removing admins, registering a voter, and deploying a new election. Across the route files, the current implementation defines twelve HTTP endpoints. Rate limiting is also applied to the identity verification route, which is important because successful verification triggers an on-chain transaction and therefore has both financial and availability implications.</w:t>
      </w:r>
    </w:p>
    <w:p>
      <w:pPr>
        <w:pStyle w:val="BodyText"/>
        <w:spacing w:before="100" w:after="25" w:line="220" w:lineRule="auto"/>
        <w:jc w:val="left"/>
      </w:pPr>
      <w:r>
        <w:rPr>
          <w:i/>
          <w:sz w:val="20"/>
          <w:szCs w:val="20"/>
        </w:rPr>
        <w:t>C. Frontend Layer</w:t>
      </w:r>
    </w:p>
    <w:p>
      <w:pPr>
        <w:pStyle w:val="BodyText"/>
        <w:spacing w:before="70" w:after="0" w:line="230" w:lineRule="auto"/>
        <w:ind w:left="259" w:firstLine="199"/>
        <w:jc w:val="both"/>
      </w:pPr>
      <w:r>
        <w:rPr>
          <w:sz w:val="20"/>
          <w:szCs w:val="20"/>
        </w:rPr>
        <w:t>The React frontend serves as the coordination surface between wallet state, on-chain reads, and backend workflows. It detects MetaMask availability, tracks connected account and chain ID, reacts to account and network changes, and reads live election state from the contract via `ethers`. Two hash-based routes separate the experience into a voter page and an admin console. This split is not merely aesthetic: it reduces the chance that administrative controls are confused with ballot actions and makes role guidance more explicit.</w:t>
      </w:r>
    </w:p>
    <w:p>
      <w:pPr>
        <w:pStyle w:val="BodyText"/>
        <w:spacing w:before="70" w:after="0" w:line="230" w:lineRule="auto"/>
        <w:ind w:left="259" w:firstLine="199"/>
        <w:jc w:val="both"/>
      </w:pPr>
      <w:r>
        <w:rPr>
          <w:sz w:val="20"/>
          <w:szCs w:val="20"/>
        </w:rPr>
        <w:t>On the voter side, the interface reads candidate data directly from the contract and exposes a verification flow that links an eligible identity to the active wallet. On the admin side, the interface supports citizen insertion, admin delegation, election creation, and voting-state control. Feedback messages are structured around transaction phases, including submission, confirmation, and errors. The frontend also keeps a read-only contract path separate from browser-signer interactions, which improves reliability when a user is browsing without having immediate permission to sign transactions.</w:t>
      </w:r>
    </w:p>
    <w:p>
      <w:pPr>
        <w:pStyle w:val="BodyText"/>
        <w:spacing w:before="140" w:after="30" w:line="220" w:lineRule="auto"/>
        <w:jc w:val="center"/>
      </w:pPr>
      <w:r>
        <w:rPr>
          <w:b/>
          <w:sz w:val="20"/>
          <w:szCs w:val="20"/>
        </w:rPr>
        <w:t>V. ELECTION WORKFLOW AND STATE TRANSITIONS</w:t>
      </w:r>
    </w:p>
    <w:p>
      <w:pPr>
        <w:pStyle w:val="BodyText"/>
        <w:spacing w:before="70" w:after="0" w:line="230" w:lineRule="auto"/>
        <w:ind w:left="259" w:firstLine="199"/>
        <w:jc w:val="both"/>
      </w:pPr>
      <w:r>
        <w:rPr>
          <w:sz w:val="20"/>
          <w:szCs w:val="20"/>
        </w:rPr>
        <w:t>Vox can also be understood as a staged election workflow spanning setup, enrollment, voting, and tally observation. This perspective matters because many security and usability properties emerge not from isolated functions, but from how the functions compose across time. In Vox, the deployer or authorized administrator first creates an election instance, which causes the backend to deploy a fresh contract and record the resulting address in the `elections` table. The frontend then fetches the latest election address for the chosen network and uses that address to build a read-only contract connection. This means the application does not assume a single eternal contract; it assumes an evolving sequence of election deployments, each with its own lifecycle.</w:t>
      </w:r>
    </w:p>
    <w:p>
      <w:pPr>
        <w:pStyle w:val="BodyText"/>
        <w:spacing w:before="70" w:after="0" w:line="230" w:lineRule="auto"/>
        <w:ind w:left="259" w:firstLine="199"/>
        <w:jc w:val="both"/>
      </w:pPr>
      <w:r>
        <w:rPr>
          <w:sz w:val="20"/>
          <w:szCs w:val="20"/>
        </w:rPr>
        <w:t>The voter-enrollment path is similarly staged. A citizen record must exist off-chain before a wallet can become eligible. During verification, the backend checks the asserted Aadhaar-style identifier against the local registry, validates wallet uniqueness both off-chain and on-chain, and only then invokes the contract's `registerVoter` function. Once registration succeeds, the wallet becomes eligible to vote on-chain, while the backend persists the identity linkage for later profile retrieval. This dual write, one to the blockchain and one to SQLite, is a particularly revealing part of the Vox design: it shows that hybrid systems often require consistency across two independent state stores that are governed by different trust assumptions.</w:t>
      </w:r>
    </w:p>
    <w:p>
      <w:pPr>
        <w:pStyle w:val="BodyText"/>
        <w:spacing w:before="70" w:after="0" w:line="230" w:lineRule="auto"/>
        <w:ind w:left="259" w:firstLine="199"/>
        <w:jc w:val="both"/>
      </w:pPr>
      <w:r>
        <w:rPr>
          <w:sz w:val="20"/>
          <w:szCs w:val="20"/>
        </w:rPr>
        <w:t>The actual voting path is intentionally narrower than the enrollment path. The user connects a wallet, the frontend resolves role state by reading `isRegisteredVoter` and administrative status, and the vote button becomes available only when the wallet is connected, on the correct network, registered, and the election is open. After a transaction is signed, the frontend tracks pending and confirmed states and refreshes contract reads. This produces a useful user-facing property: the same page that triggered the transaction also verifies the resulting on-chain state. The ballot interface therefore acts as both action surface and lightweight observer.</w:t>
      </w:r>
    </w:p>
    <w:p>
      <w:pPr>
        <w:pStyle w:val="BodyText"/>
        <w:spacing w:before="70" w:after="0" w:line="230" w:lineRule="auto"/>
        <w:ind w:left="259" w:firstLine="199"/>
        <w:jc w:val="both"/>
      </w:pPr>
      <w:r>
        <w:rPr>
          <w:sz w:val="20"/>
          <w:szCs w:val="20"/>
        </w:rPr>
        <w:t>Finally, result interpretation in Vox is immediate and transparent. Because each candidate's `voteCount` is directly readable from the contract, tally observation does not depend on a backend aggregation job or separate reporting pipeline. Anyone with the contract address and ABI can independently reproduce the visible totals. That property is weaker than full verifiable election auditing, but stronger than a purely server-rendered result page whose counts are opaque to external verification.</w:t>
      </w:r>
    </w:p>
    <w:p>
      <w:pPr>
        <w:pStyle w:val="BodyText"/>
        <w:spacing w:before="140" w:after="30" w:line="220" w:lineRule="auto"/>
        <w:jc w:val="center"/>
      </w:pPr>
      <w:r>
        <w:rPr>
          <w:b/>
          <w:sz w:val="20"/>
          <w:szCs w:val="20"/>
        </w:rPr>
        <w:t>VI. IMPLEMENTATION ANALYSIS</w:t>
      </w:r>
    </w:p>
    <w:p>
      <w:pPr>
        <w:pStyle w:val="BodyText"/>
        <w:spacing w:before="70" w:after="0" w:line="230" w:lineRule="auto"/>
        <w:ind w:left="259" w:firstLine="199"/>
        <w:jc w:val="both"/>
      </w:pPr>
      <w:r>
        <w:rPr>
          <w:sz w:val="20"/>
          <w:szCs w:val="20"/>
        </w:rPr>
        <w:t>Vox is implemented as a modern web3 stack that combines Solidity, Hardhat, React 19, `ethers` 6, Express 5, and `better-sqlite3`. The contract artifact is consumed both by the Hardhat deployment tooling and the frontend, enabling a single source of truth for the application binary interface. Network configuration distinguishes local Hardhat development from Sepolia deployment, and the backend is able to update its active in-memory contract address based on the most recently recorded election instance. This is a pragmatic design for iterative prototyping because it avoids hardcoding a single immutable deployment target.</w:t>
      </w:r>
    </w:p>
    <w:p>
      <w:pPr>
        <w:pStyle w:val="BodyText"/>
        <w:spacing w:before="70" w:after="0" w:line="230" w:lineRule="auto"/>
        <w:ind w:left="259" w:firstLine="199"/>
        <w:jc w:val="both"/>
      </w:pPr>
      <w:r>
        <w:rPr>
          <w:sz w:val="20"/>
          <w:szCs w:val="20"/>
        </w:rPr>
        <w:t>The implementation also reflects a clear separation between read-only and privileged blockchain access. Read operations, such as retrieving the election name, current admin, candidate count, and per-candidate vote totals, are handled through a JSON-RPC provider. State-changing operations, such as voting and opening the election, require a browser signer and therefore explicit wallet approval. This distinction is consistent with the execution model of Ethereum applications described in the Ethereum whitepaper [1].</w:t>
      </w:r>
    </w:p>
    <w:p>
      <w:pPr>
        <w:pStyle w:val="BodyText"/>
        <w:spacing w:before="70" w:after="0" w:line="230" w:lineRule="auto"/>
        <w:ind w:left="259" w:firstLine="199"/>
        <w:jc w:val="both"/>
      </w:pPr>
      <w:r>
        <w:rPr>
          <w:sz w:val="20"/>
          <w:szCs w:val="20"/>
        </w:rPr>
        <w:t>From a software engineering perspective, Vox exhibits a useful degree of modularity. Contract logic is isolated in Solidity. Backend identity, election metadata, and administrator workflows are separated by route file. The frontend uses dedicated helper modules for election connectivity and HTTP requests. At the same time, the implementation remains small enough that trust boundaries are inspectable end to end. This makes Vox a strong teaching artifact, because a reader can trace how identity is linked off-chain, how authorization is checked, and how a vote eventually becomes an on-chain state transition.</w:t>
      </w:r>
    </w:p>
    <w:p>
      <w:pPr>
        <w:pStyle w:val="BodyText"/>
        <w:spacing w:before="70" w:after="0" w:line="230" w:lineRule="auto"/>
        <w:ind w:left="259" w:firstLine="199"/>
        <w:jc w:val="both"/>
      </w:pPr>
      <w:r>
        <w:rPr>
          <w:sz w:val="20"/>
          <w:szCs w:val="20"/>
        </w:rPr>
        <w:t>There are also several implementation choices worth highlighting because they reflect practical engineering tradeoffs rather than accidental coding style. One is the use of `ethers.verifyMessage` for admin authorization. This avoids maintaining a separate password or centralized admin account system, which would have duplicated identity material outside the wallet model already used by the application. Another is the decision to keep administrative appointment logic off-chain. A purist blockchain design might encode admin delegation directly in the contract, but Vox instead treats admin governance as organizational state with blockchain consequences, which is often closer to how real software teams operate.</w:t>
      </w:r>
    </w:p>
    <w:p>
      <w:pPr>
        <w:pStyle w:val="BodyText"/>
        <w:spacing w:before="70" w:after="0" w:line="230" w:lineRule="auto"/>
        <w:ind w:left="259" w:firstLine="199"/>
        <w:jc w:val="both"/>
      </w:pPr>
      <w:r>
        <w:rPr>
          <w:sz w:val="20"/>
          <w:szCs w:val="20"/>
        </w:rPr>
        <w:t>The codebase also demonstrates the importance of environment management in web3 systems. The blockchain helper depends on a private key and RPC URL for administrative operations, while the frontend needs a contract address and network metadata to behave coherently. This split is manageable in a prototype, but it becomes a real deployment concern because mistakes in environment configuration can lead to contract reads against the wrong network, failed writes, or accidental use of stale deployment addresses. Vox partially addresses this by exposing a latest-election API and by letting the frontend react to active network selection, but the configuration surface remains non-trivial.</w:t>
      </w:r>
    </w:p>
    <w:p>
      <w:pPr>
        <w:pStyle w:val="BodyText"/>
        <w:spacing w:before="140" w:after="30" w:line="220" w:lineRule="auto"/>
        <w:jc w:val="center"/>
      </w:pPr>
      <w:r>
        <w:rPr>
          <w:b/>
          <w:sz w:val="20"/>
          <w:szCs w:val="20"/>
        </w:rPr>
        <w:t>VII. SECURITY PROPERTIES AND FAILURE MODES</w:t>
      </w:r>
    </w:p>
    <w:p>
      <w:pPr>
        <w:pStyle w:val="BodyText"/>
        <w:spacing w:before="70" w:after="0" w:line="230" w:lineRule="auto"/>
        <w:ind w:left="259" w:firstLine="199"/>
        <w:jc w:val="both"/>
      </w:pPr>
      <w:r>
        <w:rPr>
          <w:sz w:val="20"/>
          <w:szCs w:val="20"/>
        </w:rPr>
        <w:t>Vox provides a number of meaningful security properties despite its simplicity. First, it guarantees at-most-once voting per registered wallet for a given election contract. Because `hasVoted` is enforced inside the contract, the backend and frontend cannot override it after deployment. Second, it guarantees that voting can only occur while the election is open, again through contract-side checks rather than frontend logic. Third, it provides public readability of vote totals and election state, which improves transparency compared with a backend-only architecture.</w:t>
      </w:r>
    </w:p>
    <w:p>
      <w:pPr>
        <w:pStyle w:val="BodyText"/>
        <w:spacing w:before="70" w:after="0" w:line="230" w:lineRule="auto"/>
        <w:ind w:left="259" w:firstLine="199"/>
        <w:jc w:val="both"/>
      </w:pPr>
      <w:r>
        <w:rPr>
          <w:sz w:val="20"/>
          <w:szCs w:val="20"/>
        </w:rPr>
        <w:t>However, these guarantees should be described precisely. Vox guarantees uniqueness of wallet participation, not uniqueness of personhood. The off-chain registry is what attempts to map a person to a single wallet, and that registry remains within the trust boundary of the backend operator. Similarly, Vox guarantees correctness of counting for submitted on-chain votes, but it does not guarantee that every eligible citizen was enrolled fairly or that no one was excluded from the citizen database. These distinctions are essential because blockchain discourse sometimes collapses administrative fairness into ledger integrity, even though they are different properties.</w:t>
      </w:r>
    </w:p>
    <w:p>
      <w:pPr>
        <w:pStyle w:val="BodyText"/>
        <w:spacing w:before="70" w:after="0" w:line="230" w:lineRule="auto"/>
        <w:ind w:left="259" w:firstLine="199"/>
        <w:jc w:val="both"/>
      </w:pPr>
      <w:r>
        <w:rPr>
          <w:sz w:val="20"/>
          <w:szCs w:val="20"/>
        </w:rPr>
        <w:t>The system also exposes several instructive failure modes. The most obvious is ballot privacy failure: any observer can infer candidate choice from vote calldata or associated transaction patterns. A second is governance concentration. The administrator can register voters and control the voting window, while the deployer can create elections and appoint additional admins through the backend. If these roles are compromised or abused, the blockchain layer will faithfully enforce compromised decisions. A third is synchronization failure between off-chain and on-chain state. For example, if a registration transaction succeeds on-chain but the backend fails before persisting the wallet link locally, identity state becomes inconsistent across the two planes.</w:t>
      </w:r>
    </w:p>
    <w:p>
      <w:pPr>
        <w:pStyle w:val="BodyText"/>
        <w:spacing w:before="70" w:after="0" w:line="230" w:lineRule="auto"/>
        <w:ind w:left="259" w:firstLine="199"/>
        <w:jc w:val="both"/>
      </w:pPr>
      <w:r>
        <w:rPr>
          <w:sz w:val="20"/>
          <w:szCs w:val="20"/>
        </w:rPr>
        <w:t>A fourth failure mode is ecosystem dependency. Vox relies on MetaMask, user-controlled wallets, an RPC endpoint, and correct frontend network switching. A user with the wrong chain selected or an unavailable provider may be unable to act despite the contract being healthy. This is not unique to Vox, but it underscores that decentralized applications inherit the reliability properties of the surrounding wallet and provider ecosystem. In election-like settings, those dependencies have direct usability implications.</w:t>
      </w:r>
    </w:p>
    <w:p>
      <w:pPr>
        <w:pStyle w:val="BodyText"/>
        <w:spacing w:before="140" w:after="30" w:line="220" w:lineRule="auto"/>
        <w:jc w:val="center"/>
      </w:pPr>
      <w:r>
        <w:rPr>
          <w:b/>
          <w:sz w:val="20"/>
          <w:szCs w:val="20"/>
        </w:rPr>
        <w:t>VIII. EVALUATION METHODOLOGY AND RESULTS</w:t>
      </w:r>
    </w:p>
    <w:p>
      <w:pPr>
        <w:pStyle w:val="BodyText"/>
        <w:spacing w:before="70" w:after="0" w:line="230" w:lineRule="auto"/>
        <w:ind w:left="259" w:firstLine="199"/>
        <w:jc w:val="both"/>
      </w:pPr>
      <w:r>
        <w:rPr>
          <w:sz w:val="20"/>
          <w:szCs w:val="20"/>
        </w:rPr>
        <w:t>This paper evaluates Vox as a software artifact rather than as a large-scale election deployment. The methodology therefore combines architectural inspection with executable quality signals that are available in the current repository.</w:t>
      </w:r>
    </w:p>
    <w:p>
      <w:pPr>
        <w:pStyle w:val="BodyText"/>
        <w:spacing w:before="70" w:after="0" w:line="230" w:lineRule="auto"/>
        <w:ind w:left="259" w:firstLine="199"/>
        <w:jc w:val="both"/>
      </w:pPr>
      <w:r>
        <w:rPr>
          <w:sz w:val="20"/>
          <w:szCs w:val="20"/>
        </w:rPr>
        <w:t>The first evaluation lens is contract-level rule coverage. The `Election` test suite defines nineteen unit tests and targets the key invariants of the ballot contract. These tests exercise administrator assignment, closed-by-default initialization, successful and unsuccessful voter registration, rejection of the zero address, duplicate-registration prevention, rejection of votes while voting is closed, rejection of unregistered voters, double-voting prevention, invalid-candidate rejection, role checks on opening and closing the election, input validation on deployment, and fixture isolation between repeated deployments. Even without advanced property-based testing, this suite gives good direct coverage of the contract's central safety rules and is appropriately aligned with the design's small trusted kernel.</w:t>
      </w:r>
    </w:p>
    <w:p>
      <w:pPr>
        <w:pStyle w:val="BodyText"/>
        <w:spacing w:before="70" w:after="0" w:line="230" w:lineRule="auto"/>
        <w:ind w:left="259" w:firstLine="199"/>
        <w:jc w:val="both"/>
      </w:pPr>
      <w:r>
        <w:rPr>
          <w:sz w:val="20"/>
          <w:szCs w:val="20"/>
        </w:rPr>
        <w:t>The second lens is end-to-end buildability. The frontend artifact successfully produced a production build during evaluation using `npm run build`. This matters because it confirms that the React, Vite, and contract-artifact integration is currently coherent enough to generate deployable static assets. The generated bundle also exposed one practical engineering concern: Vite reported a large JavaScript chunk size after minification, suggesting that the next stage of maturation should include code-splitting or bundle optimization. In other words, the application is buildable, but not yet performance-tuned.</w:t>
      </w:r>
    </w:p>
    <w:p>
      <w:pPr>
        <w:pStyle w:val="BodyText"/>
        <w:spacing w:before="70" w:after="0" w:line="230" w:lineRule="auto"/>
        <w:ind w:left="259" w:firstLine="199"/>
        <w:jc w:val="both"/>
      </w:pPr>
      <w:r>
        <w:rPr>
          <w:sz w:val="20"/>
          <w:szCs w:val="20"/>
        </w:rPr>
        <w:t>The third lens is static quality enforcement. Running `npm run lint` surfaced nine errors and four warnings. The most significant issues were Node-side `process` globals not being declared in the current ESLint configuration and a smaller set of React hook dependency warnings in the frontend. These findings are useful for the paper because they show that Vox is neither a toy with no tooling nor a polished artifact with clean static checks. It occupies the realistic middle ground of many research prototypes: enough engineering discipline to expose code quality signals, but not yet enough stabilization to eliminate them.</w:t>
      </w:r>
    </w:p>
    <w:p>
      <w:pPr>
        <w:pStyle w:val="BodyText"/>
        <w:spacing w:before="70" w:after="0" w:line="230" w:lineRule="auto"/>
        <w:ind w:left="259" w:firstLine="199"/>
        <w:jc w:val="both"/>
      </w:pPr>
      <w:r>
        <w:rPr>
          <w:sz w:val="20"/>
          <w:szCs w:val="20"/>
        </w:rPr>
        <w:t>The fourth lens is reproducibility under local test execution. A fresh `npx hardhat test` run was blocked in the present environment because the local installation was missing the declared `dotenv` package even though it appears in the manifest and lockfile. This is not evidence against the contract logic itself, but it is evidence that the project still has reproducibility friction. For research artifacts, such friction matters. A good systems prototype should not only embody an idea; it should also support re-execution by another developer with minimal environmental ambiguity.</w:t>
      </w:r>
    </w:p>
    <w:p>
      <w:pPr>
        <w:pStyle w:val="BodyText"/>
        <w:spacing w:before="70" w:after="0" w:line="230" w:lineRule="auto"/>
        <w:ind w:left="259" w:firstLine="199"/>
        <w:jc w:val="both"/>
      </w:pPr>
      <w:r>
        <w:rPr>
          <w:sz w:val="20"/>
          <w:szCs w:val="20"/>
        </w:rPr>
        <w:t>Taken together, the evidence supports three conclusions. Vox already enforces its core ballot invariants at the contract layer, provides a working frontend build, and presents a coherent end-to-end architecture. However, the surrounding engineering envelope still needs refinement in dependency reproducibility, lint hygiene, and likely backend hardening before stronger claims about robustness can be made. This is precisely the kind of mixed outcome that makes prototype evaluation informative: the design is credible, but the artifact still reveals where research ideas meet deployment friction.</w:t>
      </w:r>
    </w:p>
    <w:p>
      <w:pPr>
        <w:pStyle w:val="BodyText"/>
        <w:spacing w:before="70" w:after="0" w:line="230" w:lineRule="auto"/>
        <w:ind w:left="259" w:firstLine="199"/>
        <w:jc w:val="both"/>
      </w:pPr>
      <w:r>
        <w:rPr>
          <w:sz w:val="20"/>
          <w:szCs w:val="20"/>
        </w:rPr>
        <w:t>The evaluation also suggests a broader methodological lesson for blockchain application research. Many papers evaluate only smart-contract logic or only interface usability. Vox shows why hybrid systems require hybrid evaluation. A contract may be locally correct while the frontend remains confusing, the API remains under-protected, or the environment remains difficult to reproduce. For educational prototypes especially, these cross-layer observations are often more valuable than a narrowly optimized benchmark.</w:t>
      </w:r>
    </w:p>
    <w:p>
      <w:pPr>
        <w:pStyle w:val="BodyText"/>
        <w:spacing w:before="140" w:after="30" w:line="220" w:lineRule="auto"/>
        <w:jc w:val="center"/>
      </w:pPr>
      <w:r>
        <w:rPr>
          <w:b/>
          <w:sz w:val="20"/>
          <w:szCs w:val="20"/>
        </w:rPr>
        <w:t>IX. DISCUSSION</w:t>
      </w:r>
    </w:p>
    <w:p>
      <w:pPr>
        <w:pStyle w:val="BodyText"/>
        <w:spacing w:before="70" w:after="0" w:line="230" w:lineRule="auto"/>
        <w:ind w:left="259" w:firstLine="199"/>
        <w:jc w:val="both"/>
      </w:pPr>
      <w:r>
        <w:rPr>
          <w:sz w:val="20"/>
          <w:szCs w:val="20"/>
        </w:rPr>
        <w:t>The most important insight from Vox is that blockchain meaningfully strengthens only a subset of election properties unless it is combined with additional cryptographic machinery. Vox clearly improves transparency of state transitions. Anyone able to inspect the contract can verify whether voting is open, which candidates exist, and how many votes each candidate has accrued. The system also prevents silent post hoc tally rewrites by moving count updates into immutable contract execution. These are genuine advantages over a purely centralized database-backed ballot application.</w:t>
      </w:r>
    </w:p>
    <w:p>
      <w:pPr>
        <w:pStyle w:val="BodyText"/>
        <w:spacing w:before="70" w:after="0" w:line="230" w:lineRule="auto"/>
        <w:ind w:left="259" w:firstLine="199"/>
        <w:jc w:val="both"/>
      </w:pPr>
      <w:r>
        <w:rPr>
          <w:sz w:val="20"/>
          <w:szCs w:val="20"/>
        </w:rPr>
        <w:t>At the same time, Vox demonstrates that integrity and privacy are not the same property. The system does not publish a mutable tally that can be secretly altered, but it does publish vote intent at the transaction layer. Nor does it remove trusted administrators from the process of defining who may vote. In Vox, the citizen database, admin delegation model, and election creation workflow remain off-chain and therefore remain subject to organizational trust. This aligns with the literature's repeated observation that blockchain systems often relocate trust rather than eliminate it [3]-[6].</w:t>
      </w:r>
    </w:p>
    <w:p>
      <w:pPr>
        <w:pStyle w:val="BodyText"/>
        <w:spacing w:before="70" w:after="0" w:line="230" w:lineRule="auto"/>
        <w:ind w:left="259" w:firstLine="199"/>
        <w:jc w:val="both"/>
      </w:pPr>
      <w:r>
        <w:rPr>
          <w:sz w:val="20"/>
          <w:szCs w:val="20"/>
        </w:rPr>
        <w:t>The backend also reveals a second lesson: a voting system is only as strong as the APIs surrounding the contract. Wallet-signed challenges provide a reasonable mechanism for privileged access, but backend routes still need careful validation, authorization review, audit logging, and abuse resistance. This is where work on API security and stateful workflow testing remains highly relevant [7], [8]. A secure smart contract attached to an insecure admin API does not produce a secure election system.</w:t>
      </w:r>
    </w:p>
    <w:p>
      <w:pPr>
        <w:pStyle w:val="BodyText"/>
        <w:spacing w:before="70" w:after="0" w:line="230" w:lineRule="auto"/>
        <w:ind w:left="259" w:firstLine="199"/>
        <w:jc w:val="both"/>
      </w:pPr>
      <w:r>
        <w:rPr>
          <w:sz w:val="20"/>
          <w:szCs w:val="20"/>
        </w:rPr>
        <w:t>Vox further highlights the pedagogical value of constrained prototypes. Because the system is small, its assumptions are visible. One can see precisely where identity is centralized, where counting is decentralized, where usability depends on wallet tooling, and where role separation is implemented in the interface. This clarity is often lost in larger frameworks whose security claims are distributed across many services. For teaching system design, there is value in a prototype that is intentionally incomplete but technically legible.</w:t>
      </w:r>
    </w:p>
    <w:p>
      <w:pPr>
        <w:pStyle w:val="BodyText"/>
        <w:spacing w:before="140" w:after="30" w:line="220" w:lineRule="auto"/>
        <w:jc w:val="center"/>
      </w:pPr>
      <w:r>
        <w:rPr>
          <w:b/>
          <w:sz w:val="20"/>
          <w:szCs w:val="20"/>
        </w:rPr>
        <w:t>X. THREATS TO VALIDITY</w:t>
      </w:r>
    </w:p>
    <w:p>
      <w:pPr>
        <w:pStyle w:val="BodyText"/>
        <w:spacing w:before="70" w:after="0" w:line="230" w:lineRule="auto"/>
        <w:ind w:left="259" w:firstLine="199"/>
        <w:jc w:val="both"/>
      </w:pPr>
      <w:r>
        <w:rPr>
          <w:sz w:val="20"/>
          <w:szCs w:val="20"/>
        </w:rPr>
        <w:t>Several threats to validity should be acknowledged when interpreting this study. The first concerns construct validity. Vox is evaluated primarily as a code artifact, so metrics such as test count, build success, and lint outcomes serve as proxies for software maturity rather than direct proof of election trustworthiness. A system can pass local checks and still fail important governance, usability, or privacy requirements in deployment.</w:t>
      </w:r>
    </w:p>
    <w:p>
      <w:pPr>
        <w:pStyle w:val="BodyText"/>
        <w:spacing w:before="70" w:after="0" w:line="230" w:lineRule="auto"/>
        <w:ind w:left="259" w:firstLine="199"/>
        <w:jc w:val="both"/>
      </w:pPr>
      <w:r>
        <w:rPr>
          <w:sz w:val="20"/>
          <w:szCs w:val="20"/>
        </w:rPr>
        <w:t>The second concerns external validity. Vox is closer to a demonstrator or instructional prototype than a production election system. Its use of a seeded citizen database, a single-chain deployment model, and wallet-mediated user interaction may not generalize directly to jurisdictions with formal voter rolls, accessibility requirements, device diversity, or stricter legal constraints. The conclusions of this paper should therefore be read as insights about hybrid architecture tradeoffs, not as claims about readiness for civic deployment at scale.</w:t>
      </w:r>
    </w:p>
    <w:p>
      <w:pPr>
        <w:pStyle w:val="BodyText"/>
        <w:spacing w:before="70" w:after="0" w:line="230" w:lineRule="auto"/>
        <w:ind w:left="259" w:firstLine="199"/>
        <w:jc w:val="both"/>
      </w:pPr>
      <w:r>
        <w:rPr>
          <w:sz w:val="20"/>
          <w:szCs w:val="20"/>
        </w:rPr>
        <w:t>The third concerns environmental validity. The evaluation environment exposed a local package-install inconsistency for Hardhat testing. While this was informative as a reproducibility signal, it also means that the present analysis does not include a fresh successful local rerun of all contract tests in the same environment in which the manuscript was produced. The paper therefore relies partly on repository evidence and existing test definitions rather than solely on freshly reproduced green execution.</w:t>
      </w:r>
    </w:p>
    <w:p>
      <w:pPr>
        <w:pStyle w:val="BodyText"/>
        <w:spacing w:before="70" w:after="0" w:line="230" w:lineRule="auto"/>
        <w:ind w:left="259" w:firstLine="199"/>
        <w:jc w:val="both"/>
      </w:pPr>
      <w:r>
        <w:rPr>
          <w:sz w:val="20"/>
          <w:szCs w:val="20"/>
        </w:rPr>
        <w:t>Finally, there is a researcher-interpretation threat. Because Vox is a relatively compact system, architectural analysis can appear deceptively definitive. Yet some implementation intentions may differ from current behavior, and some code paths may be underexercised. Additional dynamic testing, user observation, and adversarial API validation would reduce this threat in future work.</w:t>
      </w:r>
    </w:p>
    <w:p>
      <w:pPr>
        <w:pStyle w:val="BodyText"/>
        <w:spacing w:before="140" w:after="30" w:line="220" w:lineRule="auto"/>
        <w:jc w:val="center"/>
      </w:pPr>
      <w:r>
        <w:rPr>
          <w:b/>
          <w:sz w:val="20"/>
          <w:szCs w:val="20"/>
        </w:rPr>
        <w:t>XI. LIMITATIONS AND FUTURE WORK</w:t>
      </w:r>
    </w:p>
    <w:p>
      <w:pPr>
        <w:pStyle w:val="BodyText"/>
        <w:spacing w:before="70" w:after="0" w:line="230" w:lineRule="auto"/>
        <w:ind w:left="259" w:firstLine="199"/>
        <w:jc w:val="both"/>
      </w:pPr>
      <w:r>
        <w:rPr>
          <w:sz w:val="20"/>
          <w:szCs w:val="20"/>
        </w:rPr>
        <w:t>Vox has three major limitations. First, it lacks ballot privacy. Future versions should explore encrypted ballot submission, commit-reveal schemes, homomorphic tallying, or zero-knowledge approaches inspired by privacy-preserving Ethereum voting protocols [3]-[5]. Second, the identity pipeline is simulated rather than institutionally integrated. The current SQLite and seeded-JSON approach is suitable for demonstration, but a deployment-grade system would require audited external identity attestations, stronger data governance, and clear legal process around enrollment and appeals.</w:t>
      </w:r>
    </w:p>
    <w:p>
      <w:pPr>
        <w:pStyle w:val="BodyText"/>
        <w:spacing w:before="70" w:after="0" w:line="230" w:lineRule="auto"/>
        <w:ind w:left="259" w:firstLine="199"/>
        <w:jc w:val="both"/>
      </w:pPr>
      <w:r>
        <w:rPr>
          <w:sz w:val="20"/>
          <w:szCs w:val="20"/>
        </w:rPr>
        <w:t>Third, the current evaluation is artifact-centric rather than user-centric or adversarially comprehensive. Future work should include reproducible test harnesses, API fuzzing of the administrative layer, gas-cost profiling for common election operations, and usability studies covering wallet onboarding, network switching, and error comprehension. Given the hybrid design, such evaluation should measure both technical integrity and operator experience.</w:t>
      </w:r>
    </w:p>
    <w:p>
      <w:pPr>
        <w:pStyle w:val="BodyText"/>
        <w:spacing w:before="70" w:after="0" w:line="230" w:lineRule="auto"/>
        <w:ind w:left="259" w:firstLine="199"/>
        <w:jc w:val="both"/>
      </w:pPr>
      <w:r>
        <w:rPr>
          <w:sz w:val="20"/>
          <w:szCs w:val="20"/>
        </w:rPr>
        <w:t>Beyond these immediate steps, Vox could evolve in two distinct directions. One path is pedagogical hardening: improve code quality, documentation, test automation, and developer ergonomics so that the project becomes a stronger teaching artifact. The other path is protocol advancement: incorporate privacy-preserving voting primitives, public auditability mechanisms, and verifiable off-chain identity attestations. Either direction would be valuable, but they serve different research goals and should not be conflated.</w:t>
      </w:r>
    </w:p>
    <w:p>
      <w:pPr>
        <w:pStyle w:val="BodyText"/>
        <w:spacing w:before="70" w:after="0" w:line="230" w:lineRule="auto"/>
        <w:ind w:left="259" w:firstLine="199"/>
        <w:jc w:val="both"/>
      </w:pPr>
      <w:r>
        <w:rPr>
          <w:sz w:val="20"/>
          <w:szCs w:val="20"/>
        </w:rPr>
        <w:t>A particularly promising future direction is stronger cross-layer verification. Instead of treating the backend and contract as separate systems, Vox could formalize consistency checks between them. For example, registration workflows could record durable correlation identifiers, emit auditable backend logs tied to transaction hashes, and run compensating repairs when off-chain persistence fails after on-chain confirmation. Such mechanisms would not solve every trust issue, but they would make hybrid state transitions more observable and less fragile.</w:t>
      </w:r>
    </w:p>
    <w:p>
      <w:pPr>
        <w:pStyle w:val="BodyText"/>
        <w:spacing w:before="140" w:after="30" w:line="220" w:lineRule="auto"/>
        <w:jc w:val="center"/>
      </w:pPr>
      <w:r>
        <w:rPr>
          <w:b/>
          <w:sz w:val="20"/>
          <w:szCs w:val="20"/>
        </w:rPr>
        <w:t>XII. CONCLUSION</w:t>
      </w:r>
    </w:p>
    <w:p>
      <w:pPr>
        <w:pStyle w:val="BodyText"/>
        <w:spacing w:before="70" w:after="0" w:line="230" w:lineRule="auto"/>
        <w:ind w:left="259" w:firstLine="199"/>
        <w:jc w:val="both"/>
      </w:pPr>
      <w:r>
        <w:rPr>
          <w:sz w:val="20"/>
          <w:szCs w:val="20"/>
        </w:rPr>
        <w:t>Vox is a useful example of a hybrid blockchain e-voting prototype that combines on-chain ballot enforcement with off-chain identity and governance services. Its architecture makes a practical contribution by showing how wallet-based voting, signed administrative actions, and live contract-backed result displays can be integrated into a coherent end-to-end system. More importantly, the system also clarifies the limits of a straightforward smart-contract ballot. Vox improves transparency and uniqueness of vote casting, but it does not yet provide ballot secrecy, coercion resistance, or trust minimization in voter enrollment.</w:t>
      </w:r>
    </w:p>
    <w:p>
      <w:pPr>
        <w:pStyle w:val="BodyText"/>
        <w:spacing w:before="70" w:after="0" w:line="230" w:lineRule="auto"/>
        <w:ind w:left="259" w:firstLine="199"/>
        <w:jc w:val="both"/>
      </w:pPr>
      <w:r>
        <w:rPr>
          <w:sz w:val="20"/>
          <w:szCs w:val="20"/>
        </w:rPr>
        <w:t>The value of Vox therefore lies in precision rather than breadth. It is not a complete answer to electronic voting, but it is a concrete and inspectable answer to a narrower question: what does a realistic hybrid blockchain ballot look like when implemented with mainstream Ethereum and web tooling? By making the contract layer, backend layer, and interface layer all visible at once, Vox exposes the genuine design tradeoffs that future systems must either accept or solve more elegantly. As a result, Vox should be understood not as a finished election platform, but as a well-scoped research and learning artifact that exposes the real engineering tradeoffs of hybrid online voting.</w:t>
      </w:r>
    </w:p>
    <w:p>
      <w:pPr>
        <w:pStyle w:val="BodyText"/>
        <w:spacing w:before="140" w:after="30" w:line="220" w:lineRule="auto"/>
        <w:jc w:val="center"/>
      </w:pPr>
      <w:r>
        <w:rPr>
          <w:b/>
          <w:sz w:val="20"/>
          <w:szCs w:val="20"/>
        </w:rPr>
        <w:t>REFERENCES</w:t>
      </w:r>
    </w:p>
    <w:p>
      <w:pPr>
        <w:pStyle w:val="ListParagraph"/>
        <w:spacing w:before="35" w:after="0" w:line="230" w:lineRule="auto"/>
        <w:ind w:left="564" w:right="257"/>
        <w:jc w:val="both"/>
      </w:pPr>
      <w:r>
        <w:rPr>
          <w:sz w:val="16"/>
          <w:szCs w:val="16"/>
        </w:rPr>
        <w:t>[1] V. Buterin, "A Next-Generation Smart Contract and Decentralized Application Platform," Ethereum Whitepaper, 2014. [Online]. Available: https://ethereum.org/whitepaper/</w:t>
      </w:r>
    </w:p>
    <w:p>
      <w:pPr>
        <w:pStyle w:val="ListParagraph"/>
        <w:spacing w:before="35" w:after="0" w:line="230" w:lineRule="auto"/>
        <w:ind w:left="564" w:right="257"/>
        <w:jc w:val="both"/>
      </w:pPr>
      <w:r>
        <w:rPr>
          <w:sz w:val="16"/>
          <w:szCs w:val="16"/>
        </w:rPr>
        <w:t>[2] B. Adida, "Helios: Web-based Open-Audit Voting," in Proc. 17th USENIX Security Symposium, San Jose, CA, USA, 2008. [Online]. Available: https://www.usenix.org/conference/17th-usenix-security-symposium/helios-web-based-open-audit-voting</w:t>
      </w:r>
    </w:p>
    <w:p>
      <w:pPr>
        <w:pStyle w:val="ListParagraph"/>
        <w:spacing w:before="35" w:after="0" w:line="230" w:lineRule="auto"/>
        <w:ind w:left="564" w:right="257"/>
        <w:jc w:val="both"/>
      </w:pPr>
      <w:r>
        <w:rPr>
          <w:sz w:val="16"/>
          <w:szCs w:val="16"/>
        </w:rPr>
        <w:t>[3] P. McCorry, S. F. Shahandashti, and F. Hao, "A Smart Contract for Boardroom Voting with Maximum Voter Privacy," Cryptology ePrint Archive, Paper 2017/110, 2017. [Online]. Available: https://eprint.iacr.org/2017/110</w:t>
      </w:r>
    </w:p>
    <w:p>
      <w:pPr>
        <w:pStyle w:val="ListParagraph"/>
        <w:spacing w:before="35" w:after="0" w:line="230" w:lineRule="auto"/>
        <w:ind w:left="564" w:right="257"/>
        <w:jc w:val="both"/>
      </w:pPr>
      <w:r>
        <w:rPr>
          <w:sz w:val="16"/>
          <w:szCs w:val="16"/>
        </w:rPr>
        <w:t>[4] M. Seifelnasr, H. S. Galal, and A. M. Youssef, "Scalable Open-Vote Network on Ethereum," Cryptology ePrint Archive, Paper 2020/033, 2020. [Online]. Available: https://eprint.iacr.org/2020/033</w:t>
      </w:r>
    </w:p>
    <w:p>
      <w:pPr>
        <w:pStyle w:val="ListParagraph"/>
        <w:spacing w:before="35" w:after="0" w:line="230" w:lineRule="auto"/>
        <w:ind w:left="564" w:right="257"/>
        <w:jc w:val="both"/>
      </w:pPr>
      <w:r>
        <w:rPr>
          <w:sz w:val="16"/>
          <w:szCs w:val="16"/>
        </w:rPr>
        <w:t>[5] M. ElSheikh and A. M. Youssef, "Dispute-free Scalable Open Vote Network using zk-SNARKs," Cryptology ePrint Archive, Paper 2022/310, 2022. [Online]. Available: https://eprint.iacr.org/2022/310</w:t>
      </w:r>
    </w:p>
    <w:p>
      <w:pPr>
        <w:pStyle w:val="ListParagraph"/>
        <w:spacing w:before="35" w:after="0" w:line="230" w:lineRule="auto"/>
        <w:ind w:left="564" w:right="257"/>
        <w:jc w:val="both"/>
      </w:pPr>
      <w:r>
        <w:rPr>
          <w:sz w:val="16"/>
          <w:szCs w:val="16"/>
        </w:rPr>
        <w:t>[6] U. Jafar, M. J. A. Aziz, and Z. Shukur, "Blockchain for Electronic Voting System-Review and Open Research Challenges," Sensors, vol. 21, no. 17, Art. no. 5874, 2021. [Online]. Available: https://www.mdpi.com/1424-8220/21/17/5874</w:t>
      </w:r>
    </w:p>
    <w:p>
      <w:pPr>
        <w:pStyle w:val="ListParagraph"/>
        <w:spacing w:before="35" w:after="0" w:line="230" w:lineRule="auto"/>
        <w:ind w:left="564" w:right="257"/>
        <w:jc w:val="both"/>
      </w:pPr>
      <w:r>
        <w:rPr>
          <w:sz w:val="16"/>
          <w:szCs w:val="16"/>
        </w:rPr>
        <w:t>[7] OWASP Foundation, "OWASP API Security Top 10-2023," 2023. [Online]. Available: https://owasp.org/API-Security/editions/2023/en/0x11-t10/</w:t>
      </w:r>
    </w:p>
    <w:p>
      <w:pPr>
        <w:pStyle w:val="ListParagraph"/>
        <w:spacing w:before="35" w:after="0" w:line="230" w:lineRule="auto"/>
        <w:ind w:left="564" w:right="257"/>
        <w:jc w:val="both"/>
      </w:pPr>
      <w:r>
        <w:rPr>
          <w:sz w:val="16"/>
          <w:szCs w:val="16"/>
        </w:rPr>
        <w:t>[8] V. Atlidakis, P. Godefroid, and M. Polishchuk, "RESTler: Stateful REST API Fuzzing," in Proc. IEEE/ACM 41st International Conference on Software Engineering, Montreal, QC, Canada, 2019. [Online]. Available: https://www.microsoft.com/en-us/research/publication/restler-stateful-rest-api-fuzzing/</w:t>
      </w:r>
    </w:p>
    <w:sectPr>
      <w:pgSz w:w="12240" w:h="15840"/>
      <w:pgMar w:top="920" w:bottom="280" w:left="720" w:right="720"/>
      <w:cols w:num="2" w:equalWidth="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62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86" w:hanging="286"/>
      </w:pPr>
      <w:rPr>
        <w:rFonts w:hint="default"/>
        <w:lang w:val="en-US" w:eastAsia="en-US" w:bidi="ar-SA"/>
      </w:rPr>
    </w:lvl>
    <w:lvl w:ilvl="2">
      <w:start w:val="0"/>
      <w:numFmt w:val="bullet"/>
      <w:lvlText w:val="•"/>
      <w:lvlJc w:val="left"/>
      <w:pPr>
        <w:ind w:left="1552" w:hanging="286"/>
      </w:pPr>
      <w:rPr>
        <w:rFonts w:hint="default"/>
        <w:lang w:val="en-US" w:eastAsia="en-US" w:bidi="ar-SA"/>
      </w:rPr>
    </w:lvl>
    <w:lvl w:ilvl="3">
      <w:start w:val="0"/>
      <w:numFmt w:val="bullet"/>
      <w:lvlText w:val="•"/>
      <w:lvlJc w:val="left"/>
      <w:pPr>
        <w:ind w:left="2018" w:hanging="286"/>
      </w:pPr>
      <w:rPr>
        <w:rFonts w:hint="default"/>
        <w:lang w:val="en-US" w:eastAsia="en-US" w:bidi="ar-SA"/>
      </w:rPr>
    </w:lvl>
    <w:lvl w:ilvl="4">
      <w:start w:val="0"/>
      <w:numFmt w:val="bullet"/>
      <w:lvlText w:val="•"/>
      <w:lvlJc w:val="left"/>
      <w:pPr>
        <w:ind w:left="2484" w:hanging="286"/>
      </w:pPr>
      <w:rPr>
        <w:rFonts w:hint="default"/>
        <w:lang w:val="en-US" w:eastAsia="en-US" w:bidi="ar-SA"/>
      </w:rPr>
    </w:lvl>
    <w:lvl w:ilvl="5">
      <w:start w:val="0"/>
      <w:numFmt w:val="bullet"/>
      <w:lvlText w:val="•"/>
      <w:lvlJc w:val="left"/>
      <w:pPr>
        <w:ind w:left="2950" w:hanging="286"/>
      </w:pPr>
      <w:rPr>
        <w:rFonts w:hint="default"/>
        <w:lang w:val="en-US" w:eastAsia="en-US" w:bidi="ar-SA"/>
      </w:rPr>
    </w:lvl>
    <w:lvl w:ilvl="6">
      <w:start w:val="0"/>
      <w:numFmt w:val="bullet"/>
      <w:lvlText w:val="•"/>
      <w:lvlJc w:val="left"/>
      <w:pPr>
        <w:ind w:left="3416" w:hanging="286"/>
      </w:pPr>
      <w:rPr>
        <w:rFonts w:hint="default"/>
        <w:lang w:val="en-US" w:eastAsia="en-US" w:bidi="ar-SA"/>
      </w:rPr>
    </w:lvl>
    <w:lvl w:ilvl="7">
      <w:start w:val="0"/>
      <w:numFmt w:val="bullet"/>
      <w:lvlText w:val="•"/>
      <w:lvlJc w:val="left"/>
      <w:pPr>
        <w:ind w:left="3882" w:hanging="286"/>
      </w:pPr>
      <w:rPr>
        <w:rFonts w:hint="default"/>
        <w:lang w:val="en-US" w:eastAsia="en-US" w:bidi="ar-SA"/>
      </w:rPr>
    </w:lvl>
    <w:lvl w:ilvl="8">
      <w:start w:val="0"/>
      <w:numFmt w:val="bullet"/>
      <w:lvlText w:val="•"/>
      <w:lvlJc w:val="left"/>
      <w:pPr>
        <w:ind w:left="4348" w:hanging="286"/>
      </w:pPr>
      <w:rPr>
        <w:rFonts w:hint="default"/>
        <w:lang w:val="en-US" w:eastAsia="en-US" w:bidi="ar-SA"/>
      </w:rPr>
    </w:lvl>
  </w:abstractNum>
  <w:abstractNum w:abstractNumId="7">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528" w:hanging="202"/>
      </w:pPr>
      <w:rPr>
        <w:rFonts w:hint="default"/>
        <w:lang w:val="en-US" w:eastAsia="en-US" w:bidi="ar-SA"/>
      </w:rPr>
    </w:lvl>
    <w:lvl w:ilvl="3">
      <w:start w:val="0"/>
      <w:numFmt w:val="bullet"/>
      <w:lvlText w:val="•"/>
      <w:lvlJc w:val="left"/>
      <w:pPr>
        <w:ind w:left="457" w:hanging="202"/>
      </w:pPr>
      <w:rPr>
        <w:rFonts w:hint="default"/>
        <w:lang w:val="en-US" w:eastAsia="en-US" w:bidi="ar-SA"/>
      </w:rPr>
    </w:lvl>
    <w:lvl w:ilvl="4">
      <w:start w:val="0"/>
      <w:numFmt w:val="bullet"/>
      <w:lvlText w:val="•"/>
      <w:lvlJc w:val="left"/>
      <w:pPr>
        <w:ind w:left="386" w:hanging="202"/>
      </w:pPr>
      <w:rPr>
        <w:rFonts w:hint="default"/>
        <w:lang w:val="en-US" w:eastAsia="en-US" w:bidi="ar-SA"/>
      </w:rPr>
    </w:lvl>
    <w:lvl w:ilvl="5">
      <w:start w:val="0"/>
      <w:numFmt w:val="bullet"/>
      <w:lvlText w:val="•"/>
      <w:lvlJc w:val="left"/>
      <w:pPr>
        <w:ind w:left="315" w:hanging="202"/>
      </w:pPr>
      <w:rPr>
        <w:rFonts w:hint="default"/>
        <w:lang w:val="en-US" w:eastAsia="en-US" w:bidi="ar-SA"/>
      </w:rPr>
    </w:lvl>
    <w:lvl w:ilvl="6">
      <w:start w:val="0"/>
      <w:numFmt w:val="bullet"/>
      <w:lvlText w:val="•"/>
      <w:lvlJc w:val="left"/>
      <w:pPr>
        <w:ind w:left="244" w:hanging="202"/>
      </w:pPr>
      <w:rPr>
        <w:rFonts w:hint="default"/>
        <w:lang w:val="en-US" w:eastAsia="en-US" w:bidi="ar-SA"/>
      </w:rPr>
    </w:lvl>
    <w:lvl w:ilvl="7">
      <w:start w:val="0"/>
      <w:numFmt w:val="bullet"/>
      <w:lvlText w:val="•"/>
      <w:lvlJc w:val="left"/>
      <w:pPr>
        <w:ind w:left="173" w:hanging="202"/>
      </w:pPr>
      <w:rPr>
        <w:rFonts w:hint="default"/>
        <w:lang w:val="en-US" w:eastAsia="en-US" w:bidi="ar-SA"/>
      </w:rPr>
    </w:lvl>
    <w:lvl w:ilvl="8">
      <w:start w:val="0"/>
      <w:numFmt w:val="bullet"/>
      <w:lvlText w:val="•"/>
      <w:lvlJc w:val="left"/>
      <w:pPr>
        <w:ind w:left="102" w:hanging="202"/>
      </w:pPr>
      <w:rPr>
        <w:rFonts w:hint="default"/>
        <w:lang w:val="en-US" w:eastAsia="en-US" w:bidi="ar-SA"/>
      </w:rPr>
    </w:lvl>
  </w:abstractNum>
  <w:abstractNum w:abstractNumId="6">
    <w:multiLevelType w:val="hybridMultilevel"/>
    <w:lvl w:ilvl="0">
      <w:start w:val="1"/>
      <w:numFmt w:val="upperLetter"/>
      <w:lvlText w:val="%1."/>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5">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4">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3">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2">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1">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0">
    <w:multiLevelType w:val="hybridMultilevel"/>
    <w:lvl w:ilvl="0">
      <w:start w:val="1"/>
      <w:numFmt w:val="upperRoman"/>
      <w:lvlText w:val="%1."/>
      <w:lvlJc w:val="left"/>
      <w:pPr>
        <w:ind w:left="2167"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491" w:hanging="236"/>
      </w:pPr>
      <w:rPr>
        <w:rFonts w:hint="default"/>
        <w:lang w:val="en-US" w:eastAsia="en-US" w:bidi="ar-SA"/>
      </w:rPr>
    </w:lvl>
    <w:lvl w:ilvl="2">
      <w:start w:val="0"/>
      <w:numFmt w:val="bullet"/>
      <w:lvlText w:val="•"/>
      <w:lvlJc w:val="left"/>
      <w:pPr>
        <w:ind w:left="2823" w:hanging="236"/>
      </w:pPr>
      <w:rPr>
        <w:rFonts w:hint="default"/>
        <w:lang w:val="en-US" w:eastAsia="en-US" w:bidi="ar-SA"/>
      </w:rPr>
    </w:lvl>
    <w:lvl w:ilvl="3">
      <w:start w:val="0"/>
      <w:numFmt w:val="bullet"/>
      <w:lvlText w:val="•"/>
      <w:lvlJc w:val="left"/>
      <w:pPr>
        <w:ind w:left="3155" w:hanging="236"/>
      </w:pPr>
      <w:rPr>
        <w:rFonts w:hint="default"/>
        <w:lang w:val="en-US" w:eastAsia="en-US" w:bidi="ar-SA"/>
      </w:rPr>
    </w:lvl>
    <w:lvl w:ilvl="4">
      <w:start w:val="0"/>
      <w:numFmt w:val="bullet"/>
      <w:lvlText w:val="•"/>
      <w:lvlJc w:val="left"/>
      <w:pPr>
        <w:ind w:left="3487" w:hanging="236"/>
      </w:pPr>
      <w:rPr>
        <w:rFonts w:hint="default"/>
        <w:lang w:val="en-US" w:eastAsia="en-US" w:bidi="ar-SA"/>
      </w:rPr>
    </w:lvl>
    <w:lvl w:ilvl="5">
      <w:start w:val="0"/>
      <w:numFmt w:val="bullet"/>
      <w:lvlText w:val="•"/>
      <w:lvlJc w:val="left"/>
      <w:pPr>
        <w:ind w:left="3819" w:hanging="236"/>
      </w:pPr>
      <w:rPr>
        <w:rFonts w:hint="default"/>
        <w:lang w:val="en-US" w:eastAsia="en-US" w:bidi="ar-SA"/>
      </w:rPr>
    </w:lvl>
    <w:lvl w:ilvl="6">
      <w:start w:val="0"/>
      <w:numFmt w:val="bullet"/>
      <w:lvlText w:val="•"/>
      <w:lvlJc w:val="left"/>
      <w:pPr>
        <w:ind w:left="4151" w:hanging="236"/>
      </w:pPr>
      <w:rPr>
        <w:rFonts w:hint="default"/>
        <w:lang w:val="en-US" w:eastAsia="en-US" w:bidi="ar-SA"/>
      </w:rPr>
    </w:lvl>
    <w:lvl w:ilvl="7">
      <w:start w:val="0"/>
      <w:numFmt w:val="bullet"/>
      <w:lvlText w:val="•"/>
      <w:lvlJc w:val="left"/>
      <w:pPr>
        <w:ind w:left="4483" w:hanging="236"/>
      </w:pPr>
      <w:rPr>
        <w:rFonts w:hint="default"/>
        <w:lang w:val="en-US" w:eastAsia="en-US" w:bidi="ar-SA"/>
      </w:rPr>
    </w:lvl>
    <w:lvl w:ilvl="8">
      <w:start w:val="0"/>
      <w:numFmt w:val="bullet"/>
      <w:lvlText w:val="•"/>
      <w:lvlJc w:val="left"/>
      <w:pPr>
        <w:ind w:left="4815" w:hanging="236"/>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71"/>
      <w:ind w:left="259"/>
      <w:jc w:val="both"/>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76"/>
      <w:ind w:left="579" w:right="577" w:hanging="1"/>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624" w:hanging="36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rfc-editor.org/rfc/rfc6749" TargetMode="External"/><Relationship Id="rId6" Type="http://schemas.openxmlformats.org/officeDocument/2006/relationships/hyperlink" Target="http://www.rfc-editor.org/rfc/rfc4949"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2026-02-12T04:57:04Z</dcterms:created>
  <dcterms:modified xsi:type="dcterms:W3CDTF">2026-02-12T04:57:04Z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2026-02-11T00:00:00Z</vt:filetime>
  </property>
  <property fmtid="{D5CDD505-2E9C-101B-9397-08002B2CF9AE}" pid="3" name="Creator">
    <vt:lpwstr>TeX</vt:lpwstr>
  </property>
  <property fmtid="{D5CDD505-2E9C-101B-9397-08002B2CF9AE}" pid="4" name="LastSaved">
    <vt:filetime>2026-02-12T00:00:00Z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