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0"/>
        </w:rPr>
        <w:t>CS15 Individual Member Technical Note: AI-Based and Adaptive Scheduling (S01, S02, S03)</w:t>
      </w:r>
    </w:p>
    <w:p>
      <w:pPr>
        <w:jc w:val="center"/>
      </w:pPr>
      <w:r>
        <w:rPr>
          <w:b/>
          <w:i/>
          <w:color w:val="A01010"/>
          <w:sz w:val="18"/>
        </w:rPr>
        <w:t>DRAFT — not submission-ready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2268"/>
            <w:shd w:val="clear" w:color="auto" w:fill="DCE6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370"/>
            <w:shd w:val="clear" w:color="auto" w:fill="DCE6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sz w:val="18"/>
              </w:rPr>
              <w:t>Student ID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>
              <w:rPr>
                <w:sz w:val="18"/>
              </w:rPr>
              <w:t>[STUDENT_ID — PENDING CONFIRMATION]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sz w:val="18"/>
              </w:rPr>
              <w:t>Batch ID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>
              <w:rPr>
                <w:sz w:val="18"/>
              </w:rPr>
              <w:t>[BATCH_ID — PENDING CONFIRMATION]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sz w:val="18"/>
              </w:rPr>
              <w:t>Sub-problems owned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>
              <w:rPr>
                <w:sz w:val="18"/>
              </w:rPr>
              <w:t>S01, S02, S03 (single-member batch; scope pending faculty approval). Whether one combined note or one note per sub-problem is expected is to be confirmed.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sz w:val="18"/>
              </w:rPr>
              <w:t>Code / data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>
              <w:rPr>
                <w:sz w:val="18"/>
              </w:rPr>
              <w:t>schedlab/ (Python), cpp/ (C++ simulator, OpenMP executor); raw CSVs results/raw/; provenance provenance/; batch report CS15_Integrated_Report_DRAFT.docx</w:t>
            </w:r>
          </w:p>
        </w:tc>
      </w:tr>
    </w:tbl>
    <w:p>
      <w:pPr>
        <w:spacing w:after="40"/>
      </w:pPr>
    </w:p>
    <w:p>
      <w:pPr>
        <w:pStyle w:val="Heading1"/>
      </w:pPr>
      <w:r>
        <w:t>1. Individual contribution</w:t>
      </w:r>
    </w:p>
    <w:p>
      <w:pPr>
        <w:jc w:val="both"/>
      </w:pPr>
      <w:r>
        <w:rPr/>
        <w:t>I designed and implemented the shared scheduling core and all three sub-problems:</w:t>
      </w:r>
    </w:p>
    <w:p>
      <w:pPr>
        <w:pStyle w:val="ListBullet"/>
        <w:spacing w:after="20"/>
      </w:pPr>
      <w:r>
        <w:rPr>
          <w:b/>
        </w:rPr>
        <w:t>Shared core</w:t>
      </w:r>
      <w:r>
        <w:rPr/>
        <w:t xml:space="preserve"> (</w:t>
      </w:r>
      <w:r>
        <w:rPr>
          <w:rFonts w:ascii="Consolas" w:hAnsi="Consolas"/>
          <w:sz w:val="19"/>
        </w:rPr>
        <w:t>schedlab/model.py</w:t>
      </w:r>
      <w:r>
        <w:rPr/>
        <w:t xml:space="preserve">, </w:t>
      </w:r>
      <w:r>
        <w:rPr>
          <w:rFonts w:ascii="Consolas" w:hAnsi="Consolas"/>
          <w:sz w:val="19"/>
        </w:rPr>
        <w:t>workloads.py</w:t>
      </w:r>
      <w:r>
        <w:rPr/>
        <w:t xml:space="preserve">, </w:t>
      </w:r>
      <w:r>
        <w:rPr>
          <w:rFonts w:ascii="Consolas" w:hAnsi="Consolas"/>
          <w:sz w:val="19"/>
        </w:rPr>
        <w:t>heuristics.py</w:t>
      </w:r>
      <w:r>
        <w:rPr/>
        <w:t xml:space="preserve">, </w:t>
      </w:r>
      <w:r>
        <w:rPr>
          <w:rFonts w:ascii="Consolas" w:hAnsi="Consolas"/>
          <w:sz w:val="19"/>
        </w:rPr>
        <w:t>runner.py</w:t>
      </w:r>
      <w:r>
        <w:rPr/>
        <w:t xml:space="preserve">, </w:t>
      </w:r>
      <w:r>
        <w:rPr>
          <w:rFonts w:ascii="Consolas" w:hAnsi="Consolas"/>
          <w:sz w:val="19"/>
        </w:rPr>
        <w:t>analysis.py</w:t>
      </w:r>
      <w:r>
        <w:rPr/>
        <w:t>): an execution simulator for DAG schedules with gap insertion, an independent schedule validator, a seeded synthetic workload generator with content-hash-disjoint train/validation/test/unseen splits, six baseline heuristics (FCFS-EAT, FCFS-EFT, SPT-EFT, LPT-EFT, HEFT, MINMIN), a campaign runner writing one raw CSV row per run, and analysis that derives the manual's 19-column CSV, tables, figures and integrity checks.</w:t>
      </w:r>
    </w:p>
    <w:p>
      <w:pPr>
        <w:pStyle w:val="ListBullet"/>
        <w:spacing w:after="20"/>
      </w:pPr>
      <w:r>
        <w:rPr>
          <w:b/>
        </w:rPr>
        <w:t>S01</w:t>
      </w:r>
      <w:r>
        <w:rPr/>
        <w:t xml:space="preserve"> (</w:t>
      </w:r>
      <w:r>
        <w:rPr>
          <w:rFonts w:ascii="Consolas" w:hAnsi="Consolas"/>
          <w:sz w:val="19"/>
        </w:rPr>
        <w:t>ga.py</w:t>
      </w:r>
      <w:r>
        <w:rPr/>
        <w:t>): random-key plus processor-assignment GA with heuristic seeding and equal-budget controls.</w:t>
      </w:r>
    </w:p>
    <w:p>
      <w:pPr>
        <w:pStyle w:val="ListBullet"/>
        <w:spacing w:after="20"/>
      </w:pPr>
      <w:r>
        <w:rPr>
          <w:b/>
        </w:rPr>
        <w:t>S03</w:t>
      </w:r>
      <w:r>
        <w:rPr/>
        <w:t xml:space="preserve"> (</w:t>
      </w:r>
      <w:r>
        <w:rPr>
          <w:rFonts w:ascii="Consolas" w:hAnsi="Consolas"/>
          <w:sz w:val="19"/>
        </w:rPr>
        <w:t>adaptive.py</w:t>
      </w:r>
      <w:r>
        <w:rPr/>
        <w:t>): nine workload features, decision-tree policy selector with novelty guard, and a separately labelled GA contingency extension.</w:t>
      </w:r>
    </w:p>
    <w:p>
      <w:pPr>
        <w:pStyle w:val="ListBullet"/>
        <w:spacing w:after="20"/>
      </w:pPr>
      <w:r>
        <w:rPr>
          <w:b/>
        </w:rPr>
        <w:t>S02</w:t>
      </w:r>
      <w:r>
        <w:rPr/>
        <w:t xml:space="preserve"> (</w:t>
      </w:r>
      <w:r>
        <w:rPr>
          <w:rFonts w:ascii="Consolas" w:hAnsi="Consolas"/>
          <w:sz w:val="19"/>
        </w:rPr>
        <w:t>rl.py</w:t>
      </w:r>
      <w:r>
        <w:rPr/>
        <w:t>): twelve candidate features, REINFORCE with a HEFT-relative advantage, greedy deterministic policy.</w:t>
      </w:r>
    </w:p>
    <w:p>
      <w:pPr>
        <w:pStyle w:val="ListBullet"/>
        <w:spacing w:after="20"/>
      </w:pPr>
      <w:r>
        <w:rPr>
          <w:b/>
        </w:rPr>
        <w:t>C++/OpenMP</w:t>
      </w:r>
      <w:r>
        <w:rPr/>
        <w:t xml:space="preserve"> (</w:t>
      </w:r>
      <w:r>
        <w:rPr>
          <w:rFonts w:ascii="Consolas" w:hAnsi="Consolas"/>
          <w:sz w:val="19"/>
        </w:rPr>
        <w:t>cpp/schedsim</w:t>
      </w:r>
      <w:r>
        <w:rPr/>
        <w:t xml:space="preserve">, </w:t>
      </w:r>
      <w:r>
        <w:rPr>
          <w:rFonts w:ascii="Consolas" w:hAnsi="Consolas"/>
          <w:sz w:val="19"/>
        </w:rPr>
        <w:t>cpp/ompexec</w:t>
      </w:r>
      <w:r>
        <w:rPr/>
        <w:t xml:space="preserve">; </w:t>
      </w:r>
      <w:r>
        <w:rPr>
          <w:rFonts w:ascii="Consolas" w:hAnsi="Consolas"/>
          <w:sz w:val="19"/>
        </w:rPr>
        <w:t>interop.py</w:t>
      </w:r>
      <w:r>
        <w:rPr/>
        <w:t xml:space="preserve">, </w:t>
      </w:r>
      <w:r>
        <w:rPr>
          <w:rFonts w:ascii="Consolas" w:hAnsi="Consolas"/>
          <w:sz w:val="19"/>
        </w:rPr>
        <w:t>rederive.py</w:t>
      </w:r>
      <w:r>
        <w:rPr/>
        <w:t xml:space="preserve">, </w:t>
      </w:r>
      <w:r>
        <w:rPr>
          <w:rFonts w:ascii="Consolas" w:hAnsi="Consolas"/>
          <w:sz w:val="19"/>
        </w:rPr>
        <w:t>ompexec.py</w:t>
      </w:r>
      <w:r>
        <w:rPr/>
        <w:t xml:space="preserve">, </w:t>
      </w:r>
      <w:r>
        <w:rPr>
          <w:rFonts w:ascii="Consolas" w:hAnsi="Consolas"/>
          <w:sz w:val="19"/>
        </w:rPr>
        <w:t>omp_analysis.py</w:t>
      </w:r>
      <w:r>
        <w:rPr/>
        <w:t>): a bit-exact C++ workload simulator, exact re-derivation of every accepted search, learned and adaptive schedule, and an OpenMP executor (static replay with completion flags, OpenMP tasks, serial baseline) used in a locked measured campaign of 194,400 runs with independent trace checks.</w:t>
      </w:r>
    </w:p>
    <w:p>
      <w:pPr>
        <w:pStyle w:val="ListBullet"/>
        <w:spacing w:after="20"/>
      </w:pPr>
      <w:r>
        <w:rPr>
          <w:b/>
        </w:rPr>
        <w:t>Methodology:</w:t>
      </w:r>
      <w:r>
        <w:rPr/>
        <w:t xml:space="preserve"> predeclared hypotheses, primary comparisons and verdict bands; locked configurations with pinned model ids; independent verification scripts; execution and post-processing provenance records.</w:t>
      </w:r>
    </w:p>
    <w:p>
      <w:pPr>
        <w:pStyle w:val="Heading1"/>
      </w:pPr>
      <w:r>
        <w:t>2. Method summary</w:t>
      </w:r>
    </w:p>
    <w:p>
      <w:pPr>
        <w:jc w:val="both"/>
      </w:pPr>
      <w:r>
        <w:rPr/>
        <w:t xml:space="preserve">All methods produce static, non-preemptive list schedules for the same synthetic DAGs (4 workload classes; 50, 100, 200 tasks; 2, 4, 8 simulated processors; plus unseen sets with 400 tasks, 16 processors, fork-join DAGs and work CV 3.0), placed through one insertion-capable simulator; the baselines include HEFT [1] and Min-min [2], and the S01 chromosome uses random keys [3]. The S03 selector is evaluated against the single best and virtual best solvers [4]. Quality is simulated makespan, also normalised by a lower bound; speedup is relative to serial execution on the best single simulated processor; scheduling time is measured in seconds (in the simulation campaigns communication, synchronization and energy are not modelled: </w:t>
      </w:r>
      <w:r>
        <w:rPr>
          <w:rFonts w:ascii="Consolas" w:hAnsi="Consolas"/>
          <w:sz w:val="19"/>
        </w:rPr>
        <w:t>NA</w:t>
      </w:r>
      <w:r>
        <w:rPr/>
        <w:t xml:space="preserve">; in the measured replay, static-mode dependency waiting is recorded as synchronization time, while communication and energy remain </w:t>
      </w:r>
      <w:r>
        <w:rPr>
          <w:rFonts w:ascii="Consolas" w:hAnsi="Consolas"/>
          <w:sz w:val="19"/>
        </w:rPr>
        <w:t>NA</w:t>
      </w:r>
      <w:r>
        <w:rPr/>
        <w:t>). Deterministic methods are timed 3 times per instance; stochastic methods run with seeds 0, 1, 2; S02 has 3 training seeds. Each sub-problem has one predeclared primary comparison, tested with a Wilcoxon signed-rank test [5] on paired makespans, with Holm's correction [6] across the three and bootstrap confidence intervals (percentile method) [7]. The schedules were then executed on real threads (GCC 15.2, OpenMP; Apple M4): 360 instances, 15 methods, mean task 1 ms / 100 µs / 10 µs, 10 repetitions each, speedup against serial execution, three predeclared measured comparisons.</w:t>
      </w:r>
    </w:p>
    <w:p>
      <w:pPr>
        <w:pStyle w:val="Heading1"/>
      </w:pPr>
      <w:r>
        <w:t>3. Key results (held-out data; verified against saved tables)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2558"/>
        <w:gridCol w:w="2929"/>
        <w:gridCol w:w="2836"/>
      </w:tblGrid>
      <w:tr>
        <w:trPr>
          <w:cantSplit/>
          <w:tblHeader w:val="true"/>
        </w:trPr>
        <w:tc>
          <w:tcPr>
            <w:tcW w:type="dxa" w:w="1314"/>
            <w:shd w:val="clear" w:color="auto" w:fill="DCE6F0"/>
          </w:tcPr>
          <w:p>
            <w:pPr>
              <w:keepNext/>
              <w:spacing w:after="0" w:line="240" w:lineRule="auto"/>
            </w:pPr>
          </w:p>
        </w:tc>
        <w:tc>
          <w:tcPr>
            <w:tcW w:type="dxa" w:w="2558"/>
            <w:shd w:val="clear" w:color="auto" w:fill="DCE6F0"/>
          </w:tcPr>
          <w:p>
            <w:pPr>
              <w:keepNext/>
              <w:spacing w:after="0" w:line="240" w:lineRule="auto"/>
            </w:pPr>
            <w:r>
              <w:rPr>
                <w:b/>
                <w:sz w:val="17"/>
              </w:rPr>
              <w:t>Primary comparison</w:t>
            </w:r>
          </w:p>
        </w:tc>
        <w:tc>
          <w:tcPr>
            <w:tcW w:type="dxa" w:w="2929"/>
            <w:shd w:val="clear" w:color="auto" w:fill="DCE6F0"/>
          </w:tcPr>
          <w:p>
            <w:pPr>
              <w:keepNext/>
              <w:spacing w:after="0" w:line="240" w:lineRule="auto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type="dxa" w:w="2836"/>
            <w:shd w:val="clear" w:color="auto" w:fill="DCE6F0"/>
          </w:tcPr>
          <w:p>
            <w:pPr>
              <w:keepNext/>
              <w:spacing w:after="0" w:line="240" w:lineRule="auto"/>
            </w:pPr>
            <w:r>
              <w:rPr>
                <w:b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1314"/>
          </w:tcPr>
          <w:p>
            <w:pPr>
              <w:spacing w:after="0" w:line="240" w:lineRule="auto"/>
            </w:pPr>
            <w:r>
              <w:rPr>
                <w:sz w:val="17"/>
              </w:rPr>
              <w:t>S01</w:t>
            </w:r>
          </w:p>
        </w:tc>
        <w:tc>
          <w:tcPr>
            <w:tcW w:type="dxa" w:w="2558"/>
          </w:tcPr>
          <w:p>
            <w:pPr>
              <w:spacing w:after="0" w:line="240" w:lineRule="auto"/>
            </w:pPr>
            <w:r>
              <w:rPr>
                <w:sz w:val="17"/>
              </w:rPr>
              <w:t>GA vs per-instance best heuristic, 450 test instances</w:t>
            </w:r>
          </w:p>
        </w:tc>
        <w:tc>
          <w:tcPr>
            <w:tcW w:type="dxa" w:w="2929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mean paired improvement </w:t>
            </w:r>
            <w:r>
              <w:rPr>
                <w:b/>
                <w:sz w:val="17"/>
              </w:rPr>
              <w:t>+1.169%</w:t>
            </w:r>
            <w:r>
              <w:rPr>
                <w:sz w:val="17"/>
              </w:rPr>
              <w:t xml:space="preserve"> (CI 0.96–1.39%), 330 / 114 / 6, p = 6.2e-52</w:t>
            </w:r>
          </w:p>
        </w:tc>
        <w:tc>
          <w:tcPr>
            <w:tcW w:type="dxa" w:w="2836"/>
          </w:tcPr>
          <w:p>
            <w:pPr>
              <w:spacing w:after="0" w:line="240" w:lineRule="auto"/>
            </w:pPr>
            <w:r>
              <w:rPr>
                <w:sz w:val="17"/>
              </w:rPr>
              <w:t>Small, consistent improvement, largely on instances where the GA's seed heuristics were best; ~1,100–1,730× HEFT's scheduling time. An equal-budget hill climber reached +0.90%; the keys-only ablation +3.38% (better than the primary). Analysis population not predeclared</w:t>
            </w:r>
          </w:p>
        </w:tc>
      </w:tr>
      <w:tr>
        <w:trPr>
          <w:cantSplit/>
        </w:trPr>
        <w:tc>
          <w:tcPr>
            <w:tcW w:type="dxa" w:w="1314"/>
          </w:tcPr>
          <w:p>
            <w:pPr>
              <w:spacing w:after="0" w:line="240" w:lineRule="auto"/>
            </w:pPr>
            <w:r>
              <w:rPr>
                <w:sz w:val="17"/>
              </w:rPr>
              <w:t>S03</w:t>
            </w:r>
          </w:p>
        </w:tc>
        <w:tc>
          <w:tcPr>
            <w:tcW w:type="dxa" w:w="255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ADAPTIVE vs SBS (HEFT), 360 </w:t>
            </w:r>
            <w:r>
              <w:rPr>
                <w:rFonts w:ascii="Consolas" w:hAnsi="Consolas"/>
                <w:sz w:val="15"/>
              </w:rPr>
              <w:t>test_id</w:t>
            </w:r>
          </w:p>
        </w:tc>
        <w:tc>
          <w:tcPr>
            <w:tcW w:type="dxa" w:w="2929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−0.016%</w:t>
            </w:r>
            <w:r>
              <w:rPr>
                <w:sz w:val="17"/>
              </w:rPr>
              <w:t>, 6 / 342 / 12, p = 0.78, gap closed −0.03 (CI −0.30–0.19)</w:t>
            </w:r>
          </w:p>
        </w:tc>
        <w:tc>
          <w:tcPr>
            <w:tcW w:type="dxa" w:w="2836"/>
          </w:tcPr>
          <w:p>
            <w:pPr>
              <w:spacing w:after="0" w:line="240" w:lineRule="auto"/>
            </w:pPr>
            <w:r>
              <w:rPr>
                <w:sz w:val="17"/>
              </w:rPr>
              <w:t>Null result: no improvement over the best fixed policy. HEFT is within 0.48% of the per-instance oracle, leaving ≤ 0.45% to gain. The GA extension (+0.10%, CI including 0) is reported separately</w:t>
            </w:r>
          </w:p>
        </w:tc>
      </w:tr>
      <w:tr>
        <w:trPr>
          <w:cantSplit/>
        </w:trPr>
        <w:tc>
          <w:tcPr>
            <w:tcW w:type="dxa" w:w="1314"/>
          </w:tcPr>
          <w:p>
            <w:pPr>
              <w:spacing w:after="0" w:line="240" w:lineRule="auto"/>
            </w:pPr>
            <w:r>
              <w:rPr>
                <w:sz w:val="17"/>
              </w:rPr>
              <w:t>S02</w:t>
            </w:r>
          </w:p>
        </w:tc>
        <w:tc>
          <w:tcPr>
            <w:tcW w:type="dxa" w:w="255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RL (mean of 3 seeds) vs HEFT, 360 </w:t>
            </w:r>
            <w:r>
              <w:rPr>
                <w:rFonts w:ascii="Consolas" w:hAnsi="Consolas"/>
                <w:sz w:val="15"/>
              </w:rPr>
              <w:t>test_id</w:t>
            </w:r>
          </w:p>
        </w:tc>
        <w:tc>
          <w:tcPr>
            <w:tcW w:type="dxa" w:w="2929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ρ = </w:t>
            </w:r>
            <w:r>
              <w:rPr>
                <w:b/>
                <w:sz w:val="17"/>
              </w:rPr>
              <w:t>1.0097</w:t>
            </w:r>
            <w:r>
              <w:rPr>
                <w:sz w:val="17"/>
              </w:rPr>
              <w:t xml:space="preserve"> (CI 1.0034–1.0160), RL worse on 226 / 360, p = 6.8e-6</w:t>
            </w:r>
          </w:p>
        </w:tc>
        <w:tc>
          <w:tcPr>
            <w:tcW w:type="dxa" w:w="2836"/>
          </w:tcPr>
          <w:p>
            <w:pPr>
              <w:spacing w:after="0" w:line="240" w:lineRule="auto"/>
            </w:pPr>
            <w:r>
              <w:rPr>
                <w:sz w:val="17"/>
              </w:rPr>
              <w:t>Statistically worse than HEFT by ~1%, yet within the predeclared ±2% band → verdict "matches". Improves on FCFS-EAT by ~18% (ρ 0.822). Seed-dependent; generalises to larger DAGs, not to 16 processors or fork-join</w:t>
            </w:r>
          </w:p>
        </w:tc>
      </w:tr>
      <w:tr>
        <w:trPr>
          <w:cantSplit/>
        </w:trPr>
        <w:tc>
          <w:tcPr>
            <w:tcW w:type="dxa" w:w="1314"/>
          </w:tcPr>
          <w:p>
            <w:pPr>
              <w:spacing w:after="0" w:line="240" w:lineRule="auto"/>
            </w:pPr>
            <w:r>
              <w:rPr>
                <w:sz w:val="17"/>
              </w:rPr>
              <w:t>Measured</w:t>
            </w:r>
          </w:p>
        </w:tc>
        <w:tc>
          <w:tcPr>
            <w:tcW w:type="dxa" w:w="255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GA vs HEFT; ADAPTIVE (incl. decision time) vs HEFT; OpenMP tasks vs static HEFT; 1 ms tasks, 360 </w:t>
            </w:r>
            <w:r>
              <w:rPr>
                <w:rFonts w:ascii="Consolas" w:hAnsi="Consolas"/>
                <w:sz w:val="15"/>
              </w:rPr>
              <w:t>test_id</w:t>
            </w:r>
          </w:p>
        </w:tc>
        <w:tc>
          <w:tcPr>
            <w:tcW w:type="dxa" w:w="2929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ratio </w:t>
            </w:r>
            <w:r>
              <w:rPr>
                <w:b/>
                <w:sz w:val="17"/>
              </w:rPr>
              <w:t>0.984</w:t>
            </w:r>
            <w:r>
              <w:rPr>
                <w:sz w:val="17"/>
              </w:rPr>
              <w:t xml:space="preserve"> (CI 0.980–0.988); </w:t>
            </w:r>
            <w:r>
              <w:rPr>
                <w:b/>
                <w:sz w:val="17"/>
              </w:rPr>
              <w:t>1.008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1.188</w:t>
            </w:r>
            <w:r>
              <w:rPr>
                <w:sz w:val="17"/>
              </w:rPr>
              <w:t>; all Holm-significant</w:t>
            </w:r>
          </w:p>
        </w:tc>
        <w:tc>
          <w:tcPr>
            <w:tcW w:type="dxa" w:w="2836"/>
          </w:tcPr>
          <w:p>
            <w:pPr>
              <w:spacing w:after="0" w:line="240" w:lineRule="auto"/>
            </w:pPr>
            <w:r>
              <w:rPr>
                <w:sz w:val="17"/>
              </w:rPr>
              <w:t>GA's gain survives on real threads in aggregate, mostly within noise per instance and absent at 8 threads; decision overhead makes ADAPTIVE slower; the dynamic runtime is 19% slower; HEFT efficiency 0.42 at 8 threads (consistent with efficiency cores; inferred from task timings, placement not recorded)</w:t>
            </w:r>
          </w:p>
        </w:tc>
      </w:tr>
    </w:tbl>
    <w:p>
      <w:pPr>
        <w:spacing w:after="40"/>
      </w:pPr>
    </w:p>
    <w:p>
      <w:pPr>
        <w:pStyle w:val="Heading1"/>
      </w:pPr>
      <w:r>
        <w:t>4. What I learned</w:t>
      </w:r>
    </w:p>
    <w:p>
      <w:pPr>
        <w:pStyle w:val="ListNumber"/>
        <w:spacing w:after="20"/>
      </w:pPr>
      <w:r>
        <w:rPr/>
        <w:t>A strong cheap heuristic sets a high bar: on deterministic, communication-free DAGs, HEFT left little room for selection or learning, and search gains cost three orders of magnitude more time.</w:t>
      </w:r>
    </w:p>
    <w:p>
      <w:pPr>
        <w:pStyle w:val="ListNumber"/>
        <w:spacing w:after="20"/>
      </w:pPr>
      <w:r>
        <w:rPr/>
        <w:t>Controls change conclusions: seeding guarantees "never worse than the seeds", so improvement over the seeds is not evidence of evolutionary search; an equal-budget hill climber nearly matched the GA.</w:t>
      </w:r>
    </w:p>
    <w:p>
      <w:pPr>
        <w:pStyle w:val="ListNumber"/>
        <w:spacing w:after="20"/>
      </w:pPr>
      <w:r>
        <w:rPr/>
        <w:t>Statistical and practical significance differ: S02's 1% shortfall is highly significant but inside a predeclared practical-equivalence band.</w:t>
      </w:r>
    </w:p>
    <w:p>
      <w:pPr>
        <w:pStyle w:val="ListNumber"/>
        <w:spacing w:after="20"/>
      </w:pPr>
      <w:r>
        <w:rPr/>
        <w:t>Measured noise (≈ 2% per run) is as large as the simulated effects: they show up on hardware only in aggregate, and the hardware (efficiency cores at 8 threads) changes the picture the simulator gives.</w:t>
      </w:r>
    </w:p>
    <w:p>
      <w:pPr>
        <w:pStyle w:val="ListNumber"/>
        <w:spacing w:after="20"/>
      </w:pPr>
      <w:r>
        <w:rPr/>
        <w:t xml:space="preserve">Reproducibility needs engineering: pinned model ids, deterministic training, hash-checked data splits and saved execution snapshots caught and documented several issues (e.g. a non-reproducible model id from stored timings, transcription errors corrected in </w:t>
      </w:r>
      <w:r>
        <w:rPr>
          <w:rFonts w:ascii="Consolas" w:hAnsi="Consolas"/>
          <w:sz w:val="19"/>
        </w:rPr>
        <w:t>docs/report/ERRATA.md</w:t>
      </w:r>
      <w:r>
        <w:rPr/>
        <w:t>).</w:t>
      </w:r>
    </w:p>
    <w:p>
      <w:pPr>
        <w:pStyle w:val="Heading1"/>
      </w:pPr>
      <w:r>
        <w:t>5. Limitations</w:t>
      </w:r>
    </w:p>
    <w:p>
      <w:pPr>
        <w:jc w:val="both"/>
      </w:pPr>
      <w:r>
        <w:rPr/>
        <w:t>Quality results simulated (no communication costs); the measured replay uses a synthetic kernel on one unpinned M4, with an ≈ 8% serial calibration offset and host records lost to a driver defect (manifest reconstructed); whether the C++/OpenMP components meet the tooling requirement is pending faculty confirmation; S01 and S03 timings measured on battery power; one synthetic generator; three RL training seeds; the S03 objective to use findings from Batches 1–3 and 7 is not met (findings unavailable, none invented).</w:t>
      </w:r>
    </w:p>
    <w:p>
      <w:pPr>
        <w:pStyle w:val="Heading1"/>
      </w:pPr>
      <w:r>
        <w:t>6. References</w:t>
      </w:r>
    </w:p>
    <w:p>
      <w:pPr>
        <w:spacing w:after="20"/>
        <w:ind w:left="454" w:hanging="454"/>
      </w:pPr>
      <w:r>
        <w:rPr>
          <w:sz w:val="17"/>
        </w:rPr>
        <w:t xml:space="preserve">[1] H. Topcuoglu, S. Hariri, and M.-Y. Wu, "Performance-effective and low-complexity task scheduling for heterogeneous computing," </w:t>
      </w:r>
      <w:r>
        <w:rPr>
          <w:i/>
          <w:sz w:val="17"/>
        </w:rPr>
        <w:t>IEEE Transactions on Parallel and Distributed Systems</w:t>
      </w:r>
      <w:r>
        <w:rPr>
          <w:sz w:val="17"/>
        </w:rPr>
        <w:t>, vol. 13, pp. 260–274, 2002, doi: 10.1109/71.993206.</w:t>
      </w:r>
    </w:p>
    <w:p>
      <w:pPr>
        <w:spacing w:after="20"/>
        <w:ind w:left="454" w:hanging="454"/>
      </w:pPr>
      <w:r>
        <w:rPr>
          <w:sz w:val="17"/>
        </w:rPr>
        <w:t xml:space="preserve">[2] T. D. Braun </w:t>
      </w:r>
      <w:r>
        <w:rPr>
          <w:i/>
          <w:sz w:val="17"/>
        </w:rPr>
        <w:t>et al.</w:t>
      </w:r>
      <w:r>
        <w:rPr>
          <w:sz w:val="17"/>
        </w:rPr>
        <w:t xml:space="preserve">, "A comparison of eleven static heuristics for mapping a class of independent tasks onto heterogeneous distributed computing systems," </w:t>
      </w:r>
      <w:r>
        <w:rPr>
          <w:i/>
          <w:sz w:val="17"/>
        </w:rPr>
        <w:t>Journal of Parallel and Distributed Computing</w:t>
      </w:r>
      <w:r>
        <w:rPr>
          <w:sz w:val="17"/>
        </w:rPr>
        <w:t>, vol. 61, pp. 810–837, 2001, doi: 10.1006/jpdc.2000.1714.</w:t>
      </w:r>
    </w:p>
    <w:p>
      <w:pPr>
        <w:spacing w:after="20"/>
        <w:ind w:left="454" w:hanging="454"/>
      </w:pPr>
      <w:r>
        <w:rPr>
          <w:sz w:val="17"/>
        </w:rPr>
        <w:t xml:space="preserve">[3] J. C. Bean, "Genetic algorithms and random keys for sequencing and optimization," </w:t>
      </w:r>
      <w:r>
        <w:rPr>
          <w:i/>
          <w:sz w:val="17"/>
        </w:rPr>
        <w:t>ORSA Journal on Computing</w:t>
      </w:r>
      <w:r>
        <w:rPr>
          <w:sz w:val="17"/>
        </w:rPr>
        <w:t>, vol. 6, pp. 154–160, 1994, doi: 10.1287/ijoc.6.2.154.</w:t>
      </w:r>
    </w:p>
    <w:p>
      <w:pPr>
        <w:spacing w:after="20"/>
        <w:ind w:left="454" w:hanging="454"/>
      </w:pPr>
      <w:r>
        <w:rPr>
          <w:sz w:val="17"/>
        </w:rPr>
        <w:t xml:space="preserve">[4] P. Kerschke, H. H. Hoos, F. Neumann, and H. Trautmann, "Automated algorithm selection: Survey and perspectives," </w:t>
      </w:r>
      <w:r>
        <w:rPr>
          <w:i/>
          <w:sz w:val="17"/>
        </w:rPr>
        <w:t>Evolutionary Computation</w:t>
      </w:r>
      <w:r>
        <w:rPr>
          <w:sz w:val="17"/>
        </w:rPr>
        <w:t>, vol. 27, no. 1, pp. 3–45, 2019, doi: 10.1162/evco_a_00242.</w:t>
      </w:r>
    </w:p>
    <w:p>
      <w:pPr>
        <w:spacing w:after="20"/>
        <w:ind w:left="454" w:hanging="454"/>
      </w:pPr>
      <w:r>
        <w:rPr>
          <w:sz w:val="17"/>
        </w:rPr>
        <w:t xml:space="preserve">[5] F. Wilcoxon, "Individual comparisons by ranking methods," </w:t>
      </w:r>
      <w:r>
        <w:rPr>
          <w:i/>
          <w:sz w:val="17"/>
        </w:rPr>
        <w:t>Biometrics Bulletin</w:t>
      </w:r>
      <w:r>
        <w:rPr>
          <w:sz w:val="17"/>
        </w:rPr>
        <w:t>, vol. 1, no. 6, p. 80, 1945, doi: 10.2307/3001968.</w:t>
      </w:r>
    </w:p>
    <w:p>
      <w:pPr>
        <w:spacing w:after="20"/>
        <w:ind w:left="454" w:hanging="454"/>
      </w:pPr>
      <w:r>
        <w:rPr>
          <w:sz w:val="17"/>
        </w:rPr>
        <w:t xml:space="preserve">[6] S. Holm, "A simple sequentially rejective multiple test procedure," </w:t>
      </w:r>
      <w:r>
        <w:rPr>
          <w:i/>
          <w:sz w:val="17"/>
        </w:rPr>
        <w:t>Scandinavian Journal of Statistics</w:t>
      </w:r>
      <w:r>
        <w:rPr>
          <w:sz w:val="17"/>
        </w:rPr>
        <w:t>, vol. 6, pp. 65–70, 1979, doi: 10.2307/4615733.</w:t>
      </w:r>
    </w:p>
    <w:p>
      <w:pPr>
        <w:spacing w:after="20"/>
        <w:ind w:left="454" w:hanging="454"/>
      </w:pPr>
      <w:r>
        <w:rPr>
          <w:sz w:val="17"/>
        </w:rPr>
        <w:t xml:space="preserve">[7] B. Efron and R. Tibshirani, "Bootstrap methods for standard errors, confidence intervals, and other measures of statistical accuracy," </w:t>
      </w:r>
      <w:r>
        <w:rPr>
          <w:i/>
          <w:sz w:val="17"/>
        </w:rPr>
        <w:t>Statistical Science</w:t>
      </w:r>
      <w:r>
        <w:rPr>
          <w:sz w:val="17"/>
        </w:rPr>
        <w:t>, vol. 1, no. 1, pp. 54–75, 1986, doi: 10.1214/ss/1177013815.</w:t>
      </w:r>
    </w:p>
    <w:p>
      <w:pPr>
        <w:jc w:val="both"/>
      </w:pPr>
      <w:r>
        <w:rPr/>
        <w:t xml:space="preserve">Full bibliography of the batch report: </w:t>
      </w:r>
      <w:r>
        <w:rPr>
          <w:rFonts w:ascii="Consolas" w:hAnsi="Consolas"/>
          <w:sz w:val="19"/>
        </w:rPr>
        <w:t>docs/report/references.bib</w:t>
      </w:r>
      <w:r>
        <w:rPr/>
        <w:t xml:space="preserve"> (IEEE style).</w:t>
      </w:r>
    </w:p>
    <w:p>
      <w:r>
        <w:rPr/>
        <w:t>Supporting figure (same as Figure 9 of the batch report):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7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S02_rho_by_gro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sz w:val="16"/>
        </w:rPr>
        <w:t>Figure 9.</w:t>
      </w:r>
      <w:r>
        <w:rPr>
          <w:sz w:val="16"/>
        </w:rPr>
        <w:t xml:space="preserve"> S02 — Generalization: ρ = Cmax_RL / Cmax_HEFT per instance by workload class and unseen-workload set (&lt; 1 = RL better). Source: results/figures/20261017T115054Z-s02_final-898ee9e1/g6_rho_by_group.{pdf,svg,csv}.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BCSE412L Parallel Computing — CS15 Individual Technical Note — [STUDENT_ID — PENDING] —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b w:val="0"/>
      <w:bCs/>
      <w:i/>
      <w:color w:val="33333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