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0"/>
        </w:rPr>
        <w:t>CS15 Literature Review and Verified References</w:t>
      </w:r>
    </w:p>
    <w:p>
      <w:pPr>
        <w:jc w:val="center"/>
      </w:pPr>
      <w:r>
        <w:rPr>
          <w:b/>
          <w:i/>
          <w:color w:val="A01010"/>
          <w:sz w:val="18"/>
        </w:rPr>
        <w:t>DRAFT — companion to the batch report</w:t>
      </w: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2268"/>
            <w:shd w:val="clear" w:color="auto" w:fill="DCE6F0"/>
          </w:tcPr>
          <w:p>
            <w:pPr>
              <w:spacing w:after="0" w:line="240" w:lineRule="auto"/>
            </w:pPr>
            <w:r>
              <w:rPr>
                <w:b/>
                <w:sz w:val="18"/>
              </w:rPr>
              <w:t>Field</w:t>
            </w:r>
          </w:p>
        </w:tc>
        <w:tc>
          <w:tcPr>
            <w:tcW w:type="dxa" w:w="7370"/>
            <w:shd w:val="clear" w:color="auto" w:fill="DCE6F0"/>
          </w:tcPr>
          <w:p>
            <w:pPr>
              <w:spacing w:after="0" w:line="240" w:lineRule="auto"/>
            </w:pPr>
            <w:r>
              <w:rPr>
                <w:b/>
                <w:sz w:val="18"/>
              </w:rPr>
              <w:t>Value</w:t>
            </w:r>
          </w:p>
        </w:tc>
      </w:tr>
      <w:tr>
        <w:tc>
          <w:tcPr>
            <w:tcW w:type="dxa" w:w="2268"/>
          </w:tcPr>
          <w:p>
            <w:pPr>
              <w:spacing w:after="0" w:line="240" w:lineRule="auto"/>
            </w:pPr>
            <w:r>
              <w:rPr>
                <w:sz w:val="18"/>
              </w:rPr>
              <w:t>Purpose</w:t>
            </w:r>
          </w:p>
        </w:tc>
        <w:tc>
          <w:tcPr>
            <w:tcW w:type="dxa" w:w="7370"/>
          </w:tcPr>
          <w:p>
            <w:pPr>
              <w:spacing w:after="0" w:line="240" w:lineRule="auto"/>
            </w:pPr>
            <w:r>
              <w:rPr>
                <w:sz w:val="18"/>
              </w:rPr>
              <w:t>Literature review of the CS15 batch report (§3.2–3.3) with the verified reference list and the citation-verification table</w:t>
            </w:r>
          </w:p>
        </w:tc>
      </w:tr>
      <w:tr>
        <w:tc>
          <w:tcPr>
            <w:tcW w:type="dxa" w:w="2268"/>
          </w:tcPr>
          <w:p>
            <w:pPr>
              <w:spacing w:after="0" w:line="240" w:lineRule="auto"/>
            </w:pPr>
            <w:r>
              <w:rPr>
                <w:sz w:val="18"/>
              </w:rPr>
              <w:t>Batch ID</w:t>
            </w:r>
          </w:p>
        </w:tc>
        <w:tc>
          <w:tcPr>
            <w:tcW w:type="dxa" w:w="7370"/>
          </w:tcPr>
          <w:p>
            <w:pPr>
              <w:spacing w:after="0" w:line="240" w:lineRule="auto"/>
            </w:pPr>
            <w:r>
              <w:rPr>
                <w:sz w:val="18"/>
              </w:rPr>
              <w:t>[BATCH_ID — PENDING CONFIRMATION]</w:t>
            </w:r>
          </w:p>
        </w:tc>
      </w:tr>
      <w:tr>
        <w:tc>
          <w:tcPr>
            <w:tcW w:type="dxa" w:w="2268"/>
          </w:tcPr>
          <w:p>
            <w:pPr>
              <w:spacing w:after="0" w:line="240" w:lineRule="auto"/>
            </w:pPr>
            <w:r>
              <w:rPr>
                <w:sz w:val="18"/>
              </w:rPr>
              <w:t>Verification</w:t>
            </w:r>
          </w:p>
        </w:tc>
        <w:tc>
          <w:tcPr>
            <w:tcW w:type="dxa" w:w="7370"/>
          </w:tcPr>
          <w:p>
            <w:pPr>
              <w:spacing w:after="0" w:line="240" w:lineRule="auto"/>
            </w:pPr>
            <w:r>
              <w:rPr>
                <w:sz w:val="18"/>
              </w:rPr>
              <w:t>Bibliographic records checked for all 16 references (Semantic Scholar, Crossref, OpenAlex); content: full text [1], [4], [8], [12], [13]; partial [2], [3], [5], [9]; abstract only [6], [7], [10], [16]; metadata only [11], [14], [15] (see table)</w:t>
            </w:r>
          </w:p>
        </w:tc>
      </w:tr>
    </w:tbl>
    <w:p>
      <w:pPr>
        <w:spacing w:after="40"/>
      </w:pPr>
    </w:p>
    <w:p>
      <w:pPr>
        <w:pStyle w:val="Heading2"/>
      </w:pPr>
      <w:r>
        <w:t>Literature review</w:t>
      </w:r>
    </w:p>
    <w:p>
      <w:pPr>
        <w:jc w:val="both"/>
      </w:pPr>
      <w:r>
        <w:rPr>
          <w:b/>
        </w:rPr>
        <w:t>DAG list scheduling and heterogeneous heuristics.</w:t>
      </w:r>
      <w:r>
        <w:rPr/>
        <w:t xml:space="preserve"> Kwok and Ahmad [1] surveyed and classified 27 static algorithms for scheduling directed task graphs on multiprocessors and describe the vocabulary used here: task priority, processor selection, insertion into idle slots, and evaluation on random graphs. Topcuoglu, Hariri and Wu [2] introduced HEFT (Heterogeneous Earliest-Finish-Time) and CPOP for a bounded number of heterogeneous processors, designed to give good schedules at low scheduling time. In this project HEFT is implemented as upward-rank task priority with earliest-finish-time processor selection and insertion into idle slots (ALGORITHM_DESIGN §2). Braun </w:t>
      </w:r>
      <w:r>
        <w:rPr>
          <w:i/>
        </w:rPr>
        <w:t>et al.</w:t>
      </w:r>
      <w:r>
        <w:rPr/>
        <w:t xml:space="preserve"> [3] compared eleven static heuristics for mapping independent tasks onto heterogeneous machines under common assumptions. In their study a GA gave the best mappings in every case, and its best solution always came from a population seeded with the Min-min solution, while the much cheaper Min-min came close to the best at a very small execution time. These works motivate our baseline set, which pairs FCFS (the manual's conventional baseline) with HEFT and Min-min as strong, cheap references. </w:t>
      </w:r>
      <w:r>
        <w:rPr>
          <w:i/>
        </w:rPr>
        <w:t>Limitation for our purpose:</w:t>
      </w:r>
      <w:r>
        <w:rPr/>
        <w:t xml:space="preserve"> they compare heuristics against each other; they do not ask how much of the remaining gap to optimal a search or learning method can close per unit of scheduling time.</w:t>
      </w:r>
    </w:p>
    <w:p>
      <w:pPr>
        <w:jc w:val="both"/>
      </w:pPr>
      <w:r>
        <w:rPr>
          <w:b/>
        </w:rPr>
        <w:t>Evolutionary scheduling.</w:t>
      </w:r>
      <w:r>
        <w:rPr/>
        <w:t xml:space="preserve"> Hou, Ansari and Ren [4] applied a genetic algorithm to multiprocessor scheduling and compared it with list scheduling and optimal schedules on random task graphs. Bean [5] presented a genetic algorithm with random keys for sequencing and optimization problems, including multiple-machine scheduling — the representation idea our S01 GA builds on (in our decoder, keys set the priority among ready tasks, so every chromosome decodes to a precedence-feasible schedule). Among recent work, Sulaiman </w:t>
      </w:r>
      <w:r>
        <w:rPr>
          <w:i/>
        </w:rPr>
        <w:t>et al.</w:t>
      </w:r>
      <w:r>
        <w:rPr/>
        <w:t xml:space="preserve"> [6] proposed hybrid GA/list heuristics (HHG, HTDG) that improve the initial population with two guided chromosomes and reported better average makespan than two GAs and two list heuristics (HEFT and PEFT). Jiang </w:t>
      </w:r>
      <w:r>
        <w:rPr>
          <w:i/>
        </w:rPr>
        <w:t>et al.</w:t>
      </w:r>
      <w:r>
        <w:rPr/>
        <w:t xml:space="preserve"> [7] proposed a real-relative encoding whose every chromosome decodes to a precedence-valid schedule, simplifying the genetic operators. </w:t>
      </w:r>
      <w:r>
        <w:rPr>
          <w:i/>
        </w:rPr>
        <w:t>Limitations relative to our question (from the abstracts):</w:t>
      </w:r>
      <w:r>
        <w:rPr/>
        <w:t xml:space="preserve"> comparisons are made against other metaheuristics and heuristics, but the reviewed abstracts do not report equal-budget non-evolutionary search controls (random search, hill climbing), and guided seeding — which [6] uses to improve quality — also makes "never worse than the seeds" a property of the construction rather than evidence of search. [6]'s abstract reports better average running time than its counterparts; how that time compares with HEFT's could not be checked, as the full text was not accessible.</w:t>
      </w:r>
    </w:p>
    <w:p>
      <w:pPr>
        <w:jc w:val="both"/>
      </w:pPr>
      <w:r>
        <w:rPr>
          <w:b/>
        </w:rPr>
        <w:t>Reinforcement-learning scheduling.</w:t>
      </w:r>
      <w:r>
        <w:rPr/>
        <w:t xml:space="preserve"> Mao </w:t>
      </w:r>
      <w:r>
        <w:rPr>
          <w:i/>
        </w:rPr>
        <w:t>et al.</w:t>
      </w:r>
      <w:r>
        <w:rPr/>
        <w:t xml:space="preserve"> [8] (Decima) showed that learned policies can schedule DAG-structured data-processing jobs and improved average job completion time by at least 21% over hand-tuned heuristics in their cluster setting. Grinsztajn </w:t>
      </w:r>
      <w:r>
        <w:rPr>
          <w:i/>
        </w:rPr>
        <w:t>et al.</w:t>
      </w:r>
      <w:r>
        <w:rPr/>
        <w:t xml:space="preserve"> [9] (READYS) combined graph convolutional networks with an actor-critic method for dynamic DAG scheduling on CPU/GPU platforms. In simulation it performed similarly to HEFT when task durations were nearly deterministic, outperformed HEFT as duration noise grew, and transferred from small training graphs to larger ones. Zhadan </w:t>
      </w:r>
      <w:r>
        <w:rPr>
          <w:i/>
        </w:rPr>
        <w:t>et al.</w:t>
      </w:r>
      <w:r>
        <w:rPr/>
        <w:t xml:space="preserve"> [10] used multi-agent RL to choose a heuristic rule adaptively at each scheduling step and reported an average 5.32% gain over the best baseline (DONF) on random DAGs. </w:t>
      </w:r>
      <w:r>
        <w:rPr>
          <w:i/>
        </w:rPr>
        <w:t>Limitations relative to our question:</w:t>
      </w:r>
      <w:r>
        <w:rPr/>
        <w:t xml:space="preserve"> gains are reported in settings with stochastic durations, cluster dynamics or step-level rule switching, against baselines whose placement rules and overheads differ; the RL policy's own inference overhead and training cost are not the headline metric (for [10], from its abstract). Notably, READYS's clearest gains over HEFT appear only once durations are stochastic [9]. Whether a policy trained on a deterministic, communication-free model beats an insertion-based HEFT on held-out instances is not answered by the reviewed work.</w:t>
      </w:r>
    </w:p>
    <w:p>
      <w:pPr>
        <w:jc w:val="both"/>
      </w:pPr>
      <w:r>
        <w:rPr>
          <w:b/>
        </w:rPr>
        <w:t>Workload-aware and adaptive scheduling (algorithm selection).</w:t>
      </w:r>
      <w:r>
        <w:rPr/>
        <w:t xml:space="preserve"> Rice [11] formalised the algorithm selection problem: choose, from instance features, the algorithm expected to perform best. Kerschke </w:t>
      </w:r>
      <w:r>
        <w:rPr>
          <w:i/>
        </w:rPr>
        <w:t>et al.</w:t>
      </w:r>
      <w:r>
        <w:rPr/>
        <w:t xml:space="preserve"> [12] surveyed automated algorithm selection and its relation to configuration, scheduling and portfolios; the standard references for evaluating a selector are the single best solver (SBS) and the virtual best solver (VBS, the per-instance oracle); a selector is judged by how much of the SBS–VBS gap it closes, which we adopt. Uzunoglu </w:t>
      </w:r>
      <w:r>
        <w:rPr>
          <w:i/>
        </w:rPr>
        <w:t>et al.</w:t>
      </w:r>
      <w:r>
        <w:rPr/>
        <w:t xml:space="preserve"> [13] used learning-to-rank models to select, per instance, among learning-augmented construction heuristics for a serial-batch scheduling problem. Selection beat the single best heuristic in every size group (mean relative improvement over the worst compared method, 6.42% vs 2.23%), and GA improvement of the selected solutions raised it to 39.19%. </w:t>
      </w:r>
      <w:r>
        <w:rPr>
          <w:i/>
        </w:rPr>
        <w:t>Limitation relative to our question:</w:t>
      </w:r>
      <w:r>
        <w:rPr/>
        <w:t xml:space="preserve"> algorithm selection pays off when no single algorithm dominates; how large the SBS–VBS gap actually is for DAG list heuristics on a given workload distribution, and whether a selector recovers it at negligible decision cost, has to be measured, not assumed.</w:t>
      </w:r>
    </w:p>
    <w:p>
      <w:pPr>
        <w:jc w:val="both"/>
      </w:pPr>
      <w:r>
        <w:rPr>
          <w:b/>
        </w:rPr>
        <w:t>Evaluation methodology.</w:t>
      </w:r>
      <w:r>
        <w:rPr/>
        <w:t xml:space="preserve"> Comparing several AI methods against shared baselines raises multiplicity: we use one predeclared primary comparison per sub-problem with Holm's sequentially rejective correction [14] across the three; each primary comparison is a Wilcoxon signed-rank test [15] on paired makespans, and effect sizes carry bootstrap confidence intervals (percentile method) [16].</w:t>
      </w:r>
    </w:p>
    <w:p>
      <w:pPr>
        <w:pStyle w:val="Heading2"/>
      </w:pPr>
      <w:r>
        <w:t>Research gap</w:t>
      </w:r>
    </w:p>
    <w:p>
      <w:pPr>
        <w:jc w:val="both"/>
      </w:pPr>
      <w:r>
        <w:rPr/>
        <w:t xml:space="preserve">Across the reviewed work, AI-based schedulers are usually evaluated in isolation, against other metaheuristics or heuristics, on the authors' own models, and with improvements reported as headline percentages. Four questions are rarely answered together and on the same footing: (i) </w:t>
      </w:r>
      <w:r>
        <w:rPr>
          <w:i/>
        </w:rPr>
        <w:t>how much</w:t>
      </w:r>
      <w:r>
        <w:rPr/>
        <w:t xml:space="preserve"> a search, learning or selection method improves on the strongest cheap heuristic </w:t>
      </w:r>
      <w:r>
        <w:rPr>
          <w:b/>
        </w:rPr>
        <w:t>on identical instances under the same placement rule</w:t>
      </w:r>
      <w:r>
        <w:rPr/>
        <w:t xml:space="preserve">; (ii) whether that improvement survives </w:t>
      </w:r>
      <w:r>
        <w:rPr>
          <w:b/>
        </w:rPr>
        <w:t>controls</w:t>
      </w:r>
      <w:r>
        <w:rPr/>
        <w:t xml:space="preserve"> (equal-budget search, unseeded search, oracle and single-best references) and </w:t>
      </w:r>
      <w:r>
        <w:rPr>
          <w:b/>
        </w:rPr>
        <w:t>held-out and unseen workloads</w:t>
      </w:r>
      <w:r>
        <w:rPr/>
        <w:t xml:space="preserve">; (iii) what it </w:t>
      </w:r>
      <w:r>
        <w:rPr>
          <w:b/>
        </w:rPr>
        <w:t>costs</w:t>
      </w:r>
      <w:r>
        <w:rPr/>
        <w:t xml:space="preserve"> in measured scheduling time; and (iv) whether simulated differences </w:t>
      </w:r>
      <w:r>
        <w:rPr>
          <w:b/>
        </w:rPr>
        <w:t>survive execution on real threads</w:t>
      </w:r>
      <w:r>
        <w:rPr/>
        <w:t>. This case study answers all four for one shared simulator and a measured OpenMP replay, with predeclared hypotheses, primary comparisons and verdict bands, and reports null and negative results with the same weight as positive ones.</w:t>
      </w:r>
    </w:p>
    <w:p>
      <w:pPr>
        <w:pStyle w:val="Heading2"/>
      </w:pPr>
      <w:r>
        <w:t>References</w:t>
      </w:r>
    </w:p>
    <w:p>
      <w:pPr>
        <w:spacing w:after="20"/>
        <w:ind w:left="454" w:hanging="454"/>
      </w:pPr>
      <w:r>
        <w:rPr>
          <w:sz w:val="17"/>
        </w:rPr>
        <w:t xml:space="preserve">[1] Y.-K. Kwok and I. Ahmad, "Static scheduling algorithms for allocating directed task graphs to multiprocessors," </w:t>
      </w:r>
      <w:r>
        <w:rPr>
          <w:i/>
          <w:sz w:val="17"/>
        </w:rPr>
        <w:t>ACM Computing Surveys</w:t>
      </w:r>
      <w:r>
        <w:rPr>
          <w:sz w:val="17"/>
        </w:rPr>
        <w:t>, vol. 31, pp. 406–471, 1999, doi: 10.1145/344588.344618.</w:t>
      </w:r>
    </w:p>
    <w:p>
      <w:pPr>
        <w:spacing w:after="20"/>
        <w:ind w:left="454" w:hanging="454"/>
      </w:pPr>
      <w:r>
        <w:rPr>
          <w:sz w:val="17"/>
        </w:rPr>
        <w:t xml:space="preserve">[2] H. Topcuoglu, S. Hariri, and M.-Y. Wu, "Performance-effective and low-complexity task scheduling for heterogeneous computing," </w:t>
      </w:r>
      <w:r>
        <w:rPr>
          <w:i/>
          <w:sz w:val="17"/>
        </w:rPr>
        <w:t>IEEE Transactions on Parallel and Distributed Systems</w:t>
      </w:r>
      <w:r>
        <w:rPr>
          <w:sz w:val="17"/>
        </w:rPr>
        <w:t>, vol. 13, pp. 260–274, 2002, doi: 10.1109/71.993206.</w:t>
      </w:r>
    </w:p>
    <w:p>
      <w:pPr>
        <w:spacing w:after="20"/>
        <w:ind w:left="454" w:hanging="454"/>
      </w:pPr>
      <w:r>
        <w:rPr>
          <w:sz w:val="17"/>
        </w:rPr>
        <w:t xml:space="preserve">[3] T. D. Braun </w:t>
      </w:r>
      <w:r>
        <w:rPr>
          <w:i/>
          <w:sz w:val="17"/>
        </w:rPr>
        <w:t>et al.</w:t>
      </w:r>
      <w:r>
        <w:rPr>
          <w:sz w:val="17"/>
        </w:rPr>
        <w:t xml:space="preserve">, "A comparison of eleven static heuristics for mapping a class of independent tasks onto heterogeneous distributed computing systems," </w:t>
      </w:r>
      <w:r>
        <w:rPr>
          <w:i/>
          <w:sz w:val="17"/>
        </w:rPr>
        <w:t>Journal of Parallel and Distributed Computing</w:t>
      </w:r>
      <w:r>
        <w:rPr>
          <w:sz w:val="17"/>
        </w:rPr>
        <w:t>, vol. 61, pp. 810–837, 2001, doi: 10.1006/jpdc.2000.1714.</w:t>
      </w:r>
    </w:p>
    <w:p>
      <w:pPr>
        <w:spacing w:after="20"/>
        <w:ind w:left="454" w:hanging="454"/>
      </w:pPr>
      <w:r>
        <w:rPr>
          <w:sz w:val="17"/>
        </w:rPr>
        <w:t xml:space="preserve">[4] E. Hou, N. Ansari, and H. Ren, "A genetic algorithm for multiprocessor scheduling," </w:t>
      </w:r>
      <w:r>
        <w:rPr>
          <w:i/>
          <w:sz w:val="17"/>
        </w:rPr>
        <w:t>IEEE Transactions on Parallel and Distributed Systems</w:t>
      </w:r>
      <w:r>
        <w:rPr>
          <w:sz w:val="17"/>
        </w:rPr>
        <w:t>, vol. 5, pp. 113–120, 1994, doi: 10.1109/71.265940.</w:t>
      </w:r>
    </w:p>
    <w:p>
      <w:pPr>
        <w:spacing w:after="20"/>
        <w:ind w:left="454" w:hanging="454"/>
      </w:pPr>
      <w:r>
        <w:rPr>
          <w:sz w:val="17"/>
        </w:rPr>
        <w:t xml:space="preserve">[5] J. C. Bean, "Genetic algorithms and random keys for sequencing and optimization," </w:t>
      </w:r>
      <w:r>
        <w:rPr>
          <w:i/>
          <w:sz w:val="17"/>
        </w:rPr>
        <w:t>ORSA Journal on Computing</w:t>
      </w:r>
      <w:r>
        <w:rPr>
          <w:sz w:val="17"/>
        </w:rPr>
        <w:t>, vol. 6, pp. 154–160, 1994, doi: 10.1287/ijoc.6.2.154.</w:t>
      </w:r>
    </w:p>
    <w:p>
      <w:pPr>
        <w:spacing w:after="20"/>
        <w:ind w:left="454" w:hanging="454"/>
      </w:pPr>
      <w:r>
        <w:rPr>
          <w:sz w:val="17"/>
        </w:rPr>
        <w:t xml:space="preserve">[6] M. Sulaiman, Z. Halim, M. Lebbah, M. Waqas, and S. Tu, "An evolutionary computing-based efficient hybrid task scheduling approach for heterogeneous computing environment," </w:t>
      </w:r>
      <w:r>
        <w:rPr>
          <w:i/>
          <w:sz w:val="17"/>
        </w:rPr>
        <w:t>Journal of Grid Computing</w:t>
      </w:r>
      <w:r>
        <w:rPr>
          <w:sz w:val="17"/>
        </w:rPr>
        <w:t>, vol. 19, no. 1, Art. 11, 2021, doi: 10.1007/s10723-021-09552-4.</w:t>
      </w:r>
    </w:p>
    <w:p>
      <w:pPr>
        <w:spacing w:after="20"/>
        <w:ind w:left="454" w:hanging="454"/>
      </w:pPr>
      <w:r>
        <w:rPr>
          <w:sz w:val="17"/>
        </w:rPr>
        <w:t xml:space="preserve">[7] J. Jiang, Z. Sun, R. Lu, L. Pan, and Z. Peng, "Real relative encoding genetic algorithm for workflow scheduling in heterogeneous distributed computing systems," </w:t>
      </w:r>
      <w:r>
        <w:rPr>
          <w:i/>
          <w:sz w:val="17"/>
        </w:rPr>
        <w:t>IEEE Transactions on Parallel and Distributed Systems</w:t>
      </w:r>
      <w:r>
        <w:rPr>
          <w:sz w:val="17"/>
        </w:rPr>
        <w:t>, vol. 36, no. 1, pp. 1–14, 2025, doi: 10.1109/TPDS.2024.3492210.</w:t>
      </w:r>
    </w:p>
    <w:p>
      <w:pPr>
        <w:spacing w:after="20"/>
        <w:ind w:left="454" w:hanging="454"/>
      </w:pPr>
      <w:r>
        <w:rPr>
          <w:sz w:val="17"/>
        </w:rPr>
        <w:t xml:space="preserve">[8] H. Mao, M. Schwarzkopf, S. B. Venkatakrishnan, Z. Meng, and M. Alizadeh, "Learning scheduling algorithms for data processing clusters," in </w:t>
      </w:r>
      <w:r>
        <w:rPr>
          <w:i/>
          <w:sz w:val="17"/>
        </w:rPr>
        <w:t>Proc. ACM SIGCOMM</w:t>
      </w:r>
      <w:r>
        <w:rPr>
          <w:sz w:val="17"/>
        </w:rPr>
        <w:t>, 2019, pp. 270–288, doi: 10.1145/3341302.3342080.</w:t>
      </w:r>
    </w:p>
    <w:p>
      <w:pPr>
        <w:spacing w:after="20"/>
        <w:ind w:left="454" w:hanging="454"/>
      </w:pPr>
      <w:r>
        <w:rPr>
          <w:sz w:val="17"/>
        </w:rPr>
        <w:t xml:space="preserve">[9] N. Grinsztajn, O. Beaumont, E. Jeannot, and P. Preux, "READYS: A reinforcement learning based strategy for heterogeneous dynamic scheduling," in </w:t>
      </w:r>
      <w:r>
        <w:rPr>
          <w:i/>
          <w:sz w:val="17"/>
        </w:rPr>
        <w:t>Proc. IEEE Int. Conf. Cluster Computing (CLUSTER)</w:t>
      </w:r>
      <w:r>
        <w:rPr>
          <w:sz w:val="17"/>
        </w:rPr>
        <w:t>, 2021, pp. 70–81, doi: 10.1109/Cluster48925.2021.00031.</w:t>
      </w:r>
    </w:p>
    <w:p>
      <w:pPr>
        <w:spacing w:after="20"/>
        <w:ind w:left="454" w:hanging="454"/>
      </w:pPr>
      <w:r>
        <w:rPr>
          <w:sz w:val="17"/>
        </w:rPr>
        <w:t xml:space="preserve">[10] A. Zhadan </w:t>
      </w:r>
      <w:r>
        <w:rPr>
          <w:i/>
          <w:sz w:val="17"/>
        </w:rPr>
        <w:t>et al.</w:t>
      </w:r>
      <w:r>
        <w:rPr>
          <w:sz w:val="17"/>
        </w:rPr>
        <w:t xml:space="preserve">, "Multi-agent reinforcement learning-based adaptive heterogeneous DAG scheduling," </w:t>
      </w:r>
      <w:r>
        <w:rPr>
          <w:i/>
          <w:sz w:val="17"/>
        </w:rPr>
        <w:t>ACM Transactions on Intelligent Systems and Technology</w:t>
      </w:r>
      <w:r>
        <w:rPr>
          <w:sz w:val="17"/>
        </w:rPr>
        <w:t>, vol. 14, no. 5, pp. 1–26, 2023, doi: 10.1145/3610300.</w:t>
      </w:r>
    </w:p>
    <w:p>
      <w:pPr>
        <w:spacing w:after="20"/>
        <w:ind w:left="454" w:hanging="454"/>
      </w:pPr>
      <w:r>
        <w:rPr>
          <w:sz w:val="17"/>
        </w:rPr>
        <w:t xml:space="preserve">[11] J. R. Rice, "The algorithm selection problem," </w:t>
      </w:r>
      <w:r>
        <w:rPr>
          <w:i/>
          <w:sz w:val="17"/>
        </w:rPr>
        <w:t>Advances in Computers</w:t>
      </w:r>
      <w:r>
        <w:rPr>
          <w:sz w:val="17"/>
        </w:rPr>
        <w:t>, vol. 15, pp. 65–118, 1976, doi: 10.1016/S0065-2458(08)60520-3.</w:t>
      </w:r>
    </w:p>
    <w:p>
      <w:pPr>
        <w:spacing w:after="20"/>
        <w:ind w:left="454" w:hanging="454"/>
      </w:pPr>
      <w:r>
        <w:rPr>
          <w:sz w:val="17"/>
        </w:rPr>
        <w:t xml:space="preserve">[12] P. Kerschke, H. H. Hoos, F. Neumann, and H. Trautmann, "Automated algorithm selection: Survey and perspectives," </w:t>
      </w:r>
      <w:r>
        <w:rPr>
          <w:i/>
          <w:sz w:val="17"/>
        </w:rPr>
        <w:t>Evolutionary Computation</w:t>
      </w:r>
      <w:r>
        <w:rPr>
          <w:sz w:val="17"/>
        </w:rPr>
        <w:t>, vol. 27, no. 1, pp. 3–45, 2019, doi: 10.1162/evco_a_00242.</w:t>
      </w:r>
    </w:p>
    <w:p>
      <w:pPr>
        <w:spacing w:after="20"/>
        <w:ind w:left="454" w:hanging="454"/>
      </w:pPr>
      <w:r>
        <w:rPr>
          <w:sz w:val="17"/>
        </w:rPr>
        <w:t xml:space="preserve">[13] A. Uzunoglu, C. Gahm, and A. Tuma, "Machine learning based algorithm selection and genetic algorithms for serial-batch scheduling," </w:t>
      </w:r>
      <w:r>
        <w:rPr>
          <w:i/>
          <w:sz w:val="17"/>
        </w:rPr>
        <w:t>Computers &amp; Operations Research</w:t>
      </w:r>
      <w:r>
        <w:rPr>
          <w:sz w:val="17"/>
        </w:rPr>
        <w:t>, vol. 173, Art. 106827, 2025, doi: 10.1016/j.cor.2024.106827.</w:t>
      </w:r>
    </w:p>
    <w:p>
      <w:pPr>
        <w:spacing w:after="20"/>
        <w:ind w:left="454" w:hanging="454"/>
      </w:pPr>
      <w:r>
        <w:rPr>
          <w:sz w:val="17"/>
        </w:rPr>
        <w:t xml:space="preserve">[14] S. Holm, "A simple sequentially rejective multiple test procedure," </w:t>
      </w:r>
      <w:r>
        <w:rPr>
          <w:i/>
          <w:sz w:val="17"/>
        </w:rPr>
        <w:t>Scandinavian Journal of Statistics</w:t>
      </w:r>
      <w:r>
        <w:rPr>
          <w:sz w:val="17"/>
        </w:rPr>
        <w:t>, vol. 6, pp. 65–70, 1979, doi: 10.2307/4615733.</w:t>
      </w:r>
    </w:p>
    <w:p>
      <w:pPr>
        <w:spacing w:after="20"/>
        <w:ind w:left="454" w:hanging="454"/>
      </w:pPr>
      <w:r>
        <w:rPr>
          <w:sz w:val="17"/>
        </w:rPr>
        <w:t xml:space="preserve">[15] F. Wilcoxon, "Individual comparisons by ranking methods," </w:t>
      </w:r>
      <w:r>
        <w:rPr>
          <w:i/>
          <w:sz w:val="17"/>
        </w:rPr>
        <w:t>Biometrics Bulletin</w:t>
      </w:r>
      <w:r>
        <w:rPr>
          <w:sz w:val="17"/>
        </w:rPr>
        <w:t>, vol. 1, no. 6, p. 80, 1945, doi: 10.2307/3001968.</w:t>
      </w:r>
    </w:p>
    <w:p>
      <w:pPr>
        <w:spacing w:after="20"/>
        <w:ind w:left="454" w:hanging="454"/>
      </w:pPr>
      <w:r>
        <w:rPr>
          <w:sz w:val="17"/>
        </w:rPr>
        <w:t xml:space="preserve">[16] B. Efron and R. Tibshirani, "Bootstrap methods for standard errors, confidence intervals, and other measures of statistical accuracy," </w:t>
      </w:r>
      <w:r>
        <w:rPr>
          <w:i/>
          <w:sz w:val="17"/>
        </w:rPr>
        <w:t>Statistical Science</w:t>
      </w:r>
      <w:r>
        <w:rPr>
          <w:sz w:val="17"/>
        </w:rPr>
        <w:t>, vol. 1, no. 1, pp. 54–75, 1986, doi: 10.1214/ss/1177013815.</w:t>
      </w:r>
    </w:p>
    <w:p>
      <w:pPr>
        <w:pStyle w:val="Heading1"/>
      </w:pPr>
      <w:r>
        <w:t>Citation verification</w:t>
      </w:r>
    </w:p>
    <w:p>
      <w:pPr>
        <w:jc w:val="both"/>
      </w:pPr>
      <w:r>
        <w:rPr>
          <w:b/>
        </w:rPr>
        <w:t>Two kinds of verification are recorded separately.</w:t>
      </w:r>
    </w:p>
    <w:p>
      <w:pPr>
        <w:pStyle w:val="ListBullet"/>
        <w:spacing w:after="20"/>
      </w:pPr>
      <w:r>
        <w:rPr>
          <w:i/>
        </w:rPr>
        <w:t>Bibliographic</w:t>
      </w:r>
      <w:r>
        <w:rPr/>
        <w:t>: existence, title, authors, year, venue and DOI checked against at least one database record (Semantic Scholar (S2), Crossref or OpenAlex). Done for all 16 references.</w:t>
      </w:r>
    </w:p>
    <w:p>
      <w:pPr>
        <w:pStyle w:val="ListBullet"/>
        <w:spacing w:after="20"/>
      </w:pPr>
      <w:r>
        <w:rPr>
          <w:i/>
        </w:rPr>
        <w:t>Content</w:t>
      </w:r>
      <w:r>
        <w:rPr/>
        <w:t xml:space="preserve">: what was actually read to check the claim the report attributes to the source, at one of four levels. </w:t>
      </w:r>
      <w:r>
        <w:rPr>
          <w:b/>
        </w:rPr>
        <w:t>Full-text verified</w:t>
      </w:r>
      <w:r>
        <w:rPr/>
        <w:t xml:space="preserve"> = a complete copy of the paper (published version or author/repository copy) was obtained and every claim the report attributes to it was checked against the text. </w:t>
      </w:r>
      <w:r>
        <w:rPr>
          <w:b/>
        </w:rPr>
        <w:t>Partially verified</w:t>
      </w:r>
      <w:r>
        <w:rPr/>
        <w:t xml:space="preserve"> = only part of the text could be read (some sections or pages, or a preprint version). </w:t>
      </w:r>
      <w:r>
        <w:rPr>
          <w:b/>
        </w:rPr>
        <w:t>Abstract only</w:t>
      </w:r>
      <w:r>
        <w:rPr/>
        <w:t xml:space="preserve"> = abstract or publisher summary only. </w:t>
      </w:r>
      <w:r>
        <w:rPr>
          <w:b/>
        </w:rPr>
        <w:t>Metadata only</w:t>
      </w:r>
      <w:r>
        <w:rPr/>
        <w:t xml:space="preserve"> = title and bibliographic record only. Nothing is marked full-text verified unless its text was read.</w:t>
      </w:r>
    </w:p>
    <w:tbl>
      <w:tblPr>
        <w:tblStyle w:val="TableGrid"/>
        <w:tblW w:type="auto" w:w="0"/>
        <w:jc w:val="center"/>
        <w:tblLayout w:type="fixed"/>
        <w:tblLook w:firstColumn="1" w:firstRow="1" w:lastColumn="0" w:lastRow="0" w:noHBand="0" w:noVBand="1" w:val="04A0"/>
      </w:tblPr>
      <w:tblGrid>
        <w:gridCol w:w="510"/>
        <w:gridCol w:w="1928"/>
        <w:gridCol w:w="1361"/>
        <w:gridCol w:w="2494"/>
        <w:gridCol w:w="850"/>
        <w:gridCol w:w="2494"/>
      </w:tblGrid>
      <w:tr>
        <w:trPr>
          <w:tblHeader w:val="true"/>
        </w:trPr>
        <w:tc>
          <w:tcPr>
            <w:tcW w:type="dxa" w:w="510"/>
            <w:shd w:val="clear" w:color="auto" w:fill="DCE6F0"/>
          </w:tcPr>
          <w:p>
            <w:pPr>
              <w:spacing w:after="0" w:line="240" w:lineRule="auto"/>
            </w:pPr>
            <w:r>
              <w:rPr>
                <w:b/>
                <w:sz w:val="14"/>
              </w:rPr>
              <w:t>#</w:t>
            </w:r>
          </w:p>
        </w:tc>
        <w:tc>
          <w:tcPr>
            <w:tcW w:type="dxa" w:w="1928"/>
            <w:shd w:val="clear" w:color="auto" w:fill="DCE6F0"/>
          </w:tcPr>
          <w:p>
            <w:pPr>
              <w:spacing w:after="0" w:line="240" w:lineRule="auto"/>
            </w:pPr>
            <w:r>
              <w:rPr>
                <w:b/>
                <w:sz w:val="14"/>
              </w:rPr>
              <w:t>DOI</w:t>
            </w:r>
          </w:p>
        </w:tc>
        <w:tc>
          <w:tcPr>
            <w:tcW w:type="dxa" w:w="1361"/>
            <w:shd w:val="clear" w:color="auto" w:fill="DCE6F0"/>
          </w:tcPr>
          <w:p>
            <w:pPr>
              <w:spacing w:after="0" w:line="240" w:lineRule="auto"/>
            </w:pPr>
            <w:r>
              <w:rPr>
                <w:b/>
                <w:sz w:val="14"/>
              </w:rPr>
              <w:t>Bibliographic check</w:t>
            </w:r>
          </w:p>
        </w:tc>
        <w:tc>
          <w:tcPr>
            <w:tcW w:type="dxa" w:w="2494"/>
            <w:shd w:val="clear" w:color="auto" w:fill="DCE6F0"/>
          </w:tcPr>
          <w:p>
            <w:pPr>
              <w:spacing w:after="0" w:line="240" w:lineRule="auto"/>
            </w:pPr>
            <w:r>
              <w:rPr>
                <w:b/>
                <w:sz w:val="14"/>
              </w:rPr>
              <w:t>Content check (what was read)</w:t>
            </w:r>
          </w:p>
        </w:tc>
        <w:tc>
          <w:tcPr>
            <w:tcW w:type="dxa" w:w="850"/>
            <w:shd w:val="clear" w:color="auto" w:fill="DCE6F0"/>
          </w:tcPr>
          <w:p>
            <w:pPr>
              <w:spacing w:after="0" w:line="240" w:lineRule="auto"/>
            </w:pPr>
            <w:r>
              <w:rPr>
                <w:b/>
                <w:sz w:val="14"/>
              </w:rPr>
              <w:t>Recent (≥ 2021)</w:t>
            </w:r>
          </w:p>
        </w:tc>
        <w:tc>
          <w:tcPr>
            <w:tcW w:type="dxa" w:w="2494"/>
            <w:shd w:val="clear" w:color="auto" w:fill="DCE6F0"/>
          </w:tcPr>
          <w:p>
            <w:pPr>
              <w:spacing w:after="0" w:line="240" w:lineRule="auto"/>
            </w:pPr>
            <w:r>
              <w:rPr>
                <w:b/>
                <w:sz w:val="14"/>
              </w:rPr>
              <w:t>Notes / discrepancies</w:t>
            </w:r>
          </w:p>
        </w:tc>
      </w:tr>
      <w:tr>
        <w:tc>
          <w:tcPr>
            <w:tcW w:type="dxa" w:w="510"/>
          </w:tcPr>
          <w:p>
            <w:pPr>
              <w:spacing w:after="0" w:line="240" w:lineRule="auto"/>
            </w:pPr>
            <w:r>
              <w:rPr>
                <w:sz w:val="14"/>
              </w:rPr>
              <w:t>[1]</w:t>
            </w:r>
          </w:p>
        </w:tc>
        <w:tc>
          <w:tcPr>
            <w:tcW w:type="dxa" w:w="1928"/>
          </w:tcPr>
          <w:p>
            <w:pPr>
              <w:spacing w:after="0" w:line="240" w:lineRule="auto"/>
            </w:pPr>
            <w:r>
              <w:rPr>
                <w:sz w:val="14"/>
              </w:rPr>
              <w:t>10.1145/344588.344618</w:t>
            </w:r>
          </w:p>
        </w:tc>
        <w:tc>
          <w:tcPr>
            <w:tcW w:type="dxa" w:w="1361"/>
          </w:tcPr>
          <w:p>
            <w:pPr>
              <w:spacing w:after="0" w:line="240" w:lineRule="auto"/>
            </w:pPr>
            <w:r>
              <w:rPr>
                <w:sz w:val="14"/>
              </w:rPr>
              <w:t>S2, ACM record, OpenAlex</w:t>
            </w:r>
          </w:p>
        </w:tc>
        <w:tc>
          <w:tcPr>
            <w:tcW w:type="dxa" w:w="2494"/>
          </w:tcPr>
          <w:p>
            <w:pPr>
              <w:spacing w:after="0" w:line="240" w:lineRule="auto"/>
            </w:pPr>
            <w:r>
              <w:rPr>
                <w:b/>
                <w:sz w:val="14"/>
              </w:rPr>
              <w:t>Full-text verified</w:t>
            </w:r>
            <w:r>
              <w:rPr>
                <w:sz w:val="14"/>
              </w:rPr>
              <w:t xml:space="preserve"> (published version, 66 pp., from the second author's university page; read: abstract, §3 NP-completeness, §5 list-scheduling techniques, insertion vs non-insertion passages, §9 summary; rest searched)</w:t>
            </w:r>
          </w:p>
        </w:tc>
        <w:tc>
          <w:tcPr>
            <w:tcW w:type="dxa" w:w="850"/>
          </w:tcPr>
          <w:p>
            <w:pPr>
              <w:spacing w:after="0" w:line="240" w:lineRule="auto"/>
            </w:pPr>
            <w:r>
              <w:rPr>
                <w:sz w:val="14"/>
              </w:rPr>
              <w:t>no (seminal)</w:t>
            </w:r>
          </w:p>
        </w:tc>
        <w:tc>
          <w:tcPr>
            <w:tcW w:type="dxa" w:w="2494"/>
          </w:tcPr>
          <w:p>
            <w:pPr>
              <w:spacing w:after="0" w:line="240" w:lineRule="auto"/>
            </w:pPr>
            <w:r>
              <w:rPr>
                <w:sz w:val="14"/>
              </w:rPr>
              <w:t>ACM copy blocked (HTTP 403 / bot check)</w:t>
            </w:r>
          </w:p>
        </w:tc>
      </w:tr>
      <w:tr>
        <w:tc>
          <w:tcPr>
            <w:tcW w:type="dxa" w:w="510"/>
          </w:tcPr>
          <w:p>
            <w:pPr>
              <w:spacing w:after="0" w:line="240" w:lineRule="auto"/>
            </w:pPr>
            <w:r>
              <w:rPr>
                <w:sz w:val="14"/>
              </w:rPr>
              <w:t>[2]</w:t>
            </w:r>
          </w:p>
        </w:tc>
        <w:tc>
          <w:tcPr>
            <w:tcW w:type="dxa" w:w="1928"/>
          </w:tcPr>
          <w:p>
            <w:pPr>
              <w:spacing w:after="0" w:line="240" w:lineRule="auto"/>
            </w:pPr>
            <w:r>
              <w:rPr>
                <w:sz w:val="14"/>
              </w:rPr>
              <w:t>10.1109/71.993206</w:t>
            </w:r>
          </w:p>
        </w:tc>
        <w:tc>
          <w:tcPr>
            <w:tcW w:type="dxa" w:w="1361"/>
          </w:tcPr>
          <w:p>
            <w:pPr>
              <w:spacing w:after="0" w:line="240" w:lineRule="auto"/>
            </w:pPr>
            <w:r>
              <w:rPr>
                <w:sz w:val="14"/>
              </w:rPr>
              <w:t>S2</w:t>
            </w:r>
          </w:p>
        </w:tc>
        <w:tc>
          <w:tcPr>
            <w:tcW w:type="dxa" w:w="2494"/>
          </w:tcPr>
          <w:p>
            <w:pPr>
              <w:spacing w:after="0" w:line="240" w:lineRule="auto"/>
            </w:pPr>
            <w:r>
              <w:rPr>
                <w:b/>
                <w:sz w:val="14"/>
              </w:rPr>
              <w:t>Partially verified</w:t>
            </w:r>
            <w:r>
              <w:rPr>
                <w:sz w:val="14"/>
              </w:rPr>
              <w:t xml:space="preserve"> (copy of the published article on a third-party document site: abstract, introduction, algorithm description)</w:t>
            </w:r>
          </w:p>
        </w:tc>
        <w:tc>
          <w:tcPr>
            <w:tcW w:type="dxa" w:w="850"/>
          </w:tcPr>
          <w:p>
            <w:pPr>
              <w:spacing w:after="0" w:line="240" w:lineRule="auto"/>
            </w:pPr>
            <w:r>
              <w:rPr>
                <w:sz w:val="14"/>
              </w:rPr>
              <w:t>no (seminal)</w:t>
            </w:r>
          </w:p>
        </w:tc>
        <w:tc>
          <w:tcPr>
            <w:tcW w:type="dxa" w:w="2494"/>
          </w:tcPr>
          <w:p>
            <w:pPr>
              <w:spacing w:after="0" w:line="240" w:lineRule="auto"/>
            </w:pPr>
            <w:r>
              <w:rPr>
                <w:sz w:val="14"/>
              </w:rPr>
              <w:t>—</w:t>
            </w:r>
          </w:p>
        </w:tc>
      </w:tr>
      <w:tr>
        <w:tc>
          <w:tcPr>
            <w:tcW w:type="dxa" w:w="510"/>
          </w:tcPr>
          <w:p>
            <w:pPr>
              <w:spacing w:after="0" w:line="240" w:lineRule="auto"/>
            </w:pPr>
            <w:r>
              <w:rPr>
                <w:sz w:val="14"/>
              </w:rPr>
              <w:t>[3]</w:t>
            </w:r>
          </w:p>
        </w:tc>
        <w:tc>
          <w:tcPr>
            <w:tcW w:type="dxa" w:w="1928"/>
          </w:tcPr>
          <w:p>
            <w:pPr>
              <w:spacing w:after="0" w:line="240" w:lineRule="auto"/>
            </w:pPr>
            <w:r>
              <w:rPr>
                <w:sz w:val="14"/>
              </w:rPr>
              <w:t>10.1006/jpdc.2000.1714</w:t>
            </w:r>
          </w:p>
        </w:tc>
        <w:tc>
          <w:tcPr>
            <w:tcW w:type="dxa" w:w="1361"/>
          </w:tcPr>
          <w:p>
            <w:pPr>
              <w:spacing w:after="0" w:line="240" w:lineRule="auto"/>
            </w:pPr>
            <w:r>
              <w:rPr>
                <w:sz w:val="14"/>
              </w:rPr>
              <w:t>S2</w:t>
            </w:r>
          </w:p>
        </w:tc>
        <w:tc>
          <w:tcPr>
            <w:tcW w:type="dxa" w:w="2494"/>
          </w:tcPr>
          <w:p>
            <w:pPr>
              <w:spacing w:after="0" w:line="240" w:lineRule="auto"/>
            </w:pPr>
            <w:r>
              <w:rPr>
                <w:b/>
                <w:sz w:val="14"/>
              </w:rPr>
              <w:t>Partially verified</w:t>
            </w:r>
            <w:r>
              <w:rPr>
                <w:sz w:val="14"/>
              </w:rPr>
              <w:t xml:space="preserve"> (author-institution copies, Colorado State and NPS repositories: abstract, results, summary)</w:t>
            </w:r>
          </w:p>
        </w:tc>
        <w:tc>
          <w:tcPr>
            <w:tcW w:type="dxa" w:w="850"/>
          </w:tcPr>
          <w:p>
            <w:pPr>
              <w:spacing w:after="0" w:line="240" w:lineRule="auto"/>
            </w:pPr>
            <w:r>
              <w:rPr>
                <w:sz w:val="14"/>
              </w:rPr>
              <w:t>no (seminal)</w:t>
            </w:r>
          </w:p>
        </w:tc>
        <w:tc>
          <w:tcPr>
            <w:tcW w:type="dxa" w:w="2494"/>
          </w:tcPr>
          <w:p>
            <w:pPr>
              <w:spacing w:after="0" w:line="240" w:lineRule="auto"/>
            </w:pPr>
            <w:r>
              <w:rPr>
                <w:sz w:val="14"/>
              </w:rPr>
              <w:t>Earlier report wording corrected after this check</w:t>
            </w:r>
          </w:p>
        </w:tc>
      </w:tr>
      <w:tr>
        <w:tc>
          <w:tcPr>
            <w:tcW w:type="dxa" w:w="510"/>
          </w:tcPr>
          <w:p>
            <w:pPr>
              <w:spacing w:after="0" w:line="240" w:lineRule="auto"/>
            </w:pPr>
            <w:r>
              <w:rPr>
                <w:sz w:val="14"/>
              </w:rPr>
              <w:t>[4]</w:t>
            </w:r>
          </w:p>
        </w:tc>
        <w:tc>
          <w:tcPr>
            <w:tcW w:type="dxa" w:w="1928"/>
          </w:tcPr>
          <w:p>
            <w:pPr>
              <w:spacing w:after="0" w:line="240" w:lineRule="auto"/>
            </w:pPr>
            <w:r>
              <w:rPr>
                <w:sz w:val="14"/>
              </w:rPr>
              <w:t>10.1109/71.265940</w:t>
            </w:r>
          </w:p>
        </w:tc>
        <w:tc>
          <w:tcPr>
            <w:tcW w:type="dxa" w:w="1361"/>
          </w:tcPr>
          <w:p>
            <w:pPr>
              <w:spacing w:after="0" w:line="240" w:lineRule="auto"/>
            </w:pPr>
            <w:r>
              <w:rPr>
                <w:sz w:val="14"/>
              </w:rPr>
              <w:t>S2</w:t>
            </w:r>
          </w:p>
        </w:tc>
        <w:tc>
          <w:tcPr>
            <w:tcW w:type="dxa" w:w="2494"/>
          </w:tcPr>
          <w:p>
            <w:pPr>
              <w:spacing w:after="0" w:line="240" w:lineRule="auto"/>
            </w:pPr>
            <w:r>
              <w:rPr>
                <w:b/>
                <w:sz w:val="14"/>
              </w:rPr>
              <w:t>Full-text verified</w:t>
            </w:r>
            <w:r>
              <w:rPr>
                <w:sz w:val="14"/>
              </w:rPr>
              <w:t xml:space="preserve"> (scan of the published article, 8 pp., from the second author's NJIT page; read in full via OCR)</w:t>
            </w:r>
          </w:p>
        </w:tc>
        <w:tc>
          <w:tcPr>
            <w:tcW w:type="dxa" w:w="850"/>
          </w:tcPr>
          <w:p>
            <w:pPr>
              <w:spacing w:after="0" w:line="240" w:lineRule="auto"/>
            </w:pPr>
            <w:r>
              <w:rPr>
                <w:sz w:val="14"/>
              </w:rPr>
              <w:t>no (seminal)</w:t>
            </w:r>
          </w:p>
        </w:tc>
        <w:tc>
          <w:tcPr>
            <w:tcW w:type="dxa" w:w="2494"/>
          </w:tcPr>
          <w:p>
            <w:pPr>
              <w:spacing w:after="0" w:line="240" w:lineRule="auto"/>
            </w:pPr>
            <w:r>
              <w:rPr>
                <w:sz w:val="14"/>
              </w:rPr>
              <w:t>Deterministic model, identical processors, no communication costs</w:t>
            </w:r>
          </w:p>
        </w:tc>
      </w:tr>
      <w:tr>
        <w:tc>
          <w:tcPr>
            <w:tcW w:type="dxa" w:w="510"/>
          </w:tcPr>
          <w:p>
            <w:pPr>
              <w:spacing w:after="0" w:line="240" w:lineRule="auto"/>
            </w:pPr>
            <w:r>
              <w:rPr>
                <w:sz w:val="14"/>
              </w:rPr>
              <w:t>[5]</w:t>
            </w:r>
          </w:p>
        </w:tc>
        <w:tc>
          <w:tcPr>
            <w:tcW w:type="dxa" w:w="1928"/>
          </w:tcPr>
          <w:p>
            <w:pPr>
              <w:spacing w:after="0" w:line="240" w:lineRule="auto"/>
            </w:pPr>
            <w:r>
              <w:rPr>
                <w:sz w:val="14"/>
              </w:rPr>
              <w:t>10.1287/ijoc.6.2.154</w:t>
            </w:r>
          </w:p>
        </w:tc>
        <w:tc>
          <w:tcPr>
            <w:tcW w:type="dxa" w:w="1361"/>
          </w:tcPr>
          <w:p>
            <w:pPr>
              <w:spacing w:after="0" w:line="240" w:lineRule="auto"/>
            </w:pPr>
            <w:r>
              <w:rPr>
                <w:sz w:val="14"/>
              </w:rPr>
              <w:t>S2</w:t>
            </w:r>
          </w:p>
        </w:tc>
        <w:tc>
          <w:tcPr>
            <w:tcW w:type="dxa" w:w="2494"/>
          </w:tcPr>
          <w:p>
            <w:pPr>
              <w:spacing w:after="0" w:line="240" w:lineRule="auto"/>
            </w:pPr>
            <w:r>
              <w:rPr>
                <w:b/>
                <w:sz w:val="14"/>
              </w:rPr>
              <w:t>Partially verified</w:t>
            </w:r>
            <w:r>
              <w:rPr>
                <w:sz w:val="14"/>
              </w:rPr>
              <w:t xml:space="preserve"> (University of Michigan Technical Report 92-43, revised December 1993, from Deep Blue: abstract, introduction and start of §1 only; rest of the PDF not retrievable; published version not read)</w:t>
            </w:r>
          </w:p>
        </w:tc>
        <w:tc>
          <w:tcPr>
            <w:tcW w:type="dxa" w:w="850"/>
          </w:tcPr>
          <w:p>
            <w:pPr>
              <w:spacing w:after="0" w:line="240" w:lineRule="auto"/>
            </w:pPr>
            <w:r>
              <w:rPr>
                <w:sz w:val="14"/>
              </w:rPr>
              <w:t>no (seminal)</w:t>
            </w:r>
          </w:p>
        </w:tc>
        <w:tc>
          <w:tcPr>
            <w:tcW w:type="dxa" w:w="2494"/>
          </w:tcPr>
          <w:p>
            <w:pPr>
              <w:spacing w:after="0" w:line="240" w:lineRule="auto"/>
            </w:pPr>
            <w:r>
              <w:rPr>
                <w:sz w:val="14"/>
              </w:rPr>
              <w:t xml:space="preserve">Preprint version; indexed under successor title </w:t>
            </w:r>
            <w:r>
              <w:rPr>
                <w:i/>
                <w:sz w:val="14"/>
              </w:rPr>
              <w:t>INFORMS J. Comput.</w:t>
            </w:r>
          </w:p>
        </w:tc>
      </w:tr>
      <w:tr>
        <w:tc>
          <w:tcPr>
            <w:tcW w:type="dxa" w:w="510"/>
          </w:tcPr>
          <w:p>
            <w:pPr>
              <w:spacing w:after="0" w:line="240" w:lineRule="auto"/>
            </w:pPr>
            <w:r>
              <w:rPr>
                <w:sz w:val="14"/>
              </w:rPr>
              <w:t>[6]</w:t>
            </w:r>
          </w:p>
        </w:tc>
        <w:tc>
          <w:tcPr>
            <w:tcW w:type="dxa" w:w="1928"/>
          </w:tcPr>
          <w:p>
            <w:pPr>
              <w:spacing w:after="0" w:line="240" w:lineRule="auto"/>
            </w:pPr>
            <w:r>
              <w:rPr>
                <w:sz w:val="14"/>
              </w:rPr>
              <w:t>10.1007/s10723-021-09552-4</w:t>
            </w:r>
          </w:p>
        </w:tc>
        <w:tc>
          <w:tcPr>
            <w:tcW w:type="dxa" w:w="1361"/>
          </w:tcPr>
          <w:p>
            <w:pPr>
              <w:spacing w:after="0" w:line="240" w:lineRule="auto"/>
            </w:pPr>
            <w:r>
              <w:rPr>
                <w:sz w:val="14"/>
              </w:rPr>
              <w:t>S2, Crossref</w:t>
            </w:r>
          </w:p>
        </w:tc>
        <w:tc>
          <w:tcPr>
            <w:tcW w:type="dxa" w:w="2494"/>
          </w:tcPr>
          <w:p>
            <w:pPr>
              <w:spacing w:after="0" w:line="240" w:lineRule="auto"/>
            </w:pPr>
            <w:r>
              <w:rPr>
                <w:b/>
                <w:sz w:val="14"/>
              </w:rPr>
              <w:t>Abstract only</w:t>
            </w:r>
            <w:r>
              <w:rPr>
                <w:sz w:val="14"/>
              </w:rPr>
              <w:t xml:space="preserve"> (Springer article page; paywalled; HAL record hal-04456319 is a notice without a file; no open copy found)</w:t>
            </w:r>
          </w:p>
        </w:tc>
        <w:tc>
          <w:tcPr>
            <w:tcW w:type="dxa" w:w="850"/>
          </w:tcPr>
          <w:p>
            <w:pPr>
              <w:spacing w:after="0" w:line="240" w:lineRule="auto"/>
            </w:pPr>
            <w:r>
              <w:rPr>
                <w:b/>
                <w:sz w:val="14"/>
              </w:rPr>
              <w:t>yes</w:t>
            </w:r>
          </w:p>
        </w:tc>
        <w:tc>
          <w:tcPr>
            <w:tcW w:type="dxa" w:w="2494"/>
          </w:tcPr>
          <w:p>
            <w:pPr>
              <w:spacing w:after="0" w:line="240" w:lineRule="auto"/>
            </w:pPr>
            <w:r>
              <w:rPr>
                <w:sz w:val="14"/>
              </w:rPr>
              <w:t>Abstract claims better "average running time" than the counterparts; see recommendation C2</w:t>
            </w:r>
          </w:p>
        </w:tc>
      </w:tr>
      <w:tr>
        <w:tc>
          <w:tcPr>
            <w:tcW w:type="dxa" w:w="510"/>
          </w:tcPr>
          <w:p>
            <w:pPr>
              <w:spacing w:after="0" w:line="240" w:lineRule="auto"/>
            </w:pPr>
            <w:r>
              <w:rPr>
                <w:sz w:val="14"/>
              </w:rPr>
              <w:t>[7]</w:t>
            </w:r>
          </w:p>
        </w:tc>
        <w:tc>
          <w:tcPr>
            <w:tcW w:type="dxa" w:w="1928"/>
          </w:tcPr>
          <w:p>
            <w:pPr>
              <w:spacing w:after="0" w:line="240" w:lineRule="auto"/>
            </w:pPr>
            <w:r>
              <w:rPr>
                <w:sz w:val="14"/>
              </w:rPr>
              <w:t>10.1109/TPDS.2024.3492210</w:t>
            </w:r>
          </w:p>
        </w:tc>
        <w:tc>
          <w:tcPr>
            <w:tcW w:type="dxa" w:w="1361"/>
          </w:tcPr>
          <w:p>
            <w:pPr>
              <w:spacing w:after="0" w:line="240" w:lineRule="auto"/>
            </w:pPr>
            <w:r>
              <w:rPr>
                <w:sz w:val="14"/>
              </w:rPr>
              <w:t>S2, Crossref</w:t>
            </w:r>
          </w:p>
        </w:tc>
        <w:tc>
          <w:tcPr>
            <w:tcW w:type="dxa" w:w="2494"/>
          </w:tcPr>
          <w:p>
            <w:pPr>
              <w:spacing w:after="0" w:line="240" w:lineRule="auto"/>
            </w:pPr>
            <w:r>
              <w:rPr>
                <w:b/>
                <w:sz w:val="14"/>
              </w:rPr>
              <w:t>Abstract only</w:t>
            </w:r>
            <w:r>
              <w:rPr>
                <w:sz w:val="14"/>
              </w:rPr>
              <w:t xml:space="preserve"> (OpenAlex abstract; closed access, no repository copy found)</w:t>
            </w:r>
          </w:p>
        </w:tc>
        <w:tc>
          <w:tcPr>
            <w:tcW w:type="dxa" w:w="850"/>
          </w:tcPr>
          <w:p>
            <w:pPr>
              <w:spacing w:after="0" w:line="240" w:lineRule="auto"/>
            </w:pPr>
            <w:r>
              <w:rPr>
                <w:b/>
                <w:sz w:val="14"/>
              </w:rPr>
              <w:t>yes</w:t>
            </w:r>
          </w:p>
        </w:tc>
        <w:tc>
          <w:tcPr>
            <w:tcW w:type="dxa" w:w="2494"/>
          </w:tcPr>
          <w:p>
            <w:pPr>
              <w:spacing w:after="0" w:line="240" w:lineRule="auto"/>
            </w:pPr>
            <w:r>
              <w:rPr>
                <w:sz w:val="14"/>
              </w:rPr>
              <w:t>"Ruiqi Lu" (Crossref) vs "Rui Lu" (S2)</w:t>
            </w:r>
          </w:p>
        </w:tc>
      </w:tr>
      <w:tr>
        <w:tc>
          <w:tcPr>
            <w:tcW w:type="dxa" w:w="510"/>
          </w:tcPr>
          <w:p>
            <w:pPr>
              <w:spacing w:after="0" w:line="240" w:lineRule="auto"/>
            </w:pPr>
            <w:r>
              <w:rPr>
                <w:sz w:val="14"/>
              </w:rPr>
              <w:t>[8]</w:t>
            </w:r>
          </w:p>
        </w:tc>
        <w:tc>
          <w:tcPr>
            <w:tcW w:type="dxa" w:w="1928"/>
          </w:tcPr>
          <w:p>
            <w:pPr>
              <w:spacing w:after="0" w:line="240" w:lineRule="auto"/>
            </w:pPr>
            <w:r>
              <w:rPr>
                <w:sz w:val="14"/>
              </w:rPr>
              <w:t>10.1145/3341302.3342080</w:t>
            </w:r>
          </w:p>
        </w:tc>
        <w:tc>
          <w:tcPr>
            <w:tcW w:type="dxa" w:w="1361"/>
          </w:tcPr>
          <w:p>
            <w:pPr>
              <w:spacing w:after="0" w:line="240" w:lineRule="auto"/>
            </w:pPr>
            <w:r>
              <w:rPr>
                <w:sz w:val="14"/>
              </w:rPr>
              <w:t>S2, Crossref</w:t>
            </w:r>
          </w:p>
        </w:tc>
        <w:tc>
          <w:tcPr>
            <w:tcW w:type="dxa" w:w="2494"/>
          </w:tcPr>
          <w:p>
            <w:pPr>
              <w:spacing w:after="0" w:line="240" w:lineRule="auto"/>
            </w:pPr>
            <w:r>
              <w:rPr>
                <w:b/>
                <w:sz w:val="14"/>
              </w:rPr>
              <w:t>Full-text verified</w:t>
            </w:r>
            <w:r>
              <w:rPr>
                <w:sz w:val="14"/>
              </w:rPr>
              <w:t xml:space="preserve"> (arXiv 1810.01963 version, 19 pp.; not compared line by line with the published version)</w:t>
            </w:r>
          </w:p>
        </w:tc>
        <w:tc>
          <w:tcPr>
            <w:tcW w:type="dxa" w:w="850"/>
          </w:tcPr>
          <w:p>
            <w:pPr>
              <w:spacing w:after="0" w:line="240" w:lineRule="auto"/>
            </w:pPr>
            <w:r>
              <w:rPr>
                <w:sz w:val="14"/>
              </w:rPr>
              <w:t>no</w:t>
            </w:r>
          </w:p>
        </w:tc>
        <w:tc>
          <w:tcPr>
            <w:tcW w:type="dxa" w:w="2494"/>
          </w:tcPr>
          <w:p>
            <w:pPr>
              <w:spacing w:after="0" w:line="240" w:lineRule="auto"/>
            </w:pPr>
            <w:r>
              <w:rPr>
                <w:sz w:val="14"/>
              </w:rPr>
              <w:t>S2 year 2018 (arXiv) vs Crossref 2019 → 2019</w:t>
            </w:r>
          </w:p>
        </w:tc>
      </w:tr>
      <w:tr>
        <w:tc>
          <w:tcPr>
            <w:tcW w:type="dxa" w:w="510"/>
          </w:tcPr>
          <w:p>
            <w:pPr>
              <w:spacing w:after="0" w:line="240" w:lineRule="auto"/>
            </w:pPr>
            <w:r>
              <w:rPr>
                <w:sz w:val="14"/>
              </w:rPr>
              <w:t>[9]</w:t>
            </w:r>
          </w:p>
        </w:tc>
        <w:tc>
          <w:tcPr>
            <w:tcW w:type="dxa" w:w="1928"/>
          </w:tcPr>
          <w:p>
            <w:pPr>
              <w:spacing w:after="0" w:line="240" w:lineRule="auto"/>
            </w:pPr>
            <w:r>
              <w:rPr>
                <w:sz w:val="14"/>
              </w:rPr>
              <w:t>10.1109/Cluster48925.2021.00031</w:t>
            </w:r>
          </w:p>
        </w:tc>
        <w:tc>
          <w:tcPr>
            <w:tcW w:type="dxa" w:w="1361"/>
          </w:tcPr>
          <w:p>
            <w:pPr>
              <w:spacing w:after="0" w:line="240" w:lineRule="auto"/>
            </w:pPr>
            <w:r>
              <w:rPr>
                <w:sz w:val="14"/>
              </w:rPr>
              <w:t>S2</w:t>
            </w:r>
          </w:p>
        </w:tc>
        <w:tc>
          <w:tcPr>
            <w:tcW w:type="dxa" w:w="2494"/>
          </w:tcPr>
          <w:p>
            <w:pPr>
              <w:spacing w:after="0" w:line="240" w:lineRule="auto"/>
            </w:pPr>
            <w:r>
              <w:rPr>
                <w:b/>
                <w:sz w:val="14"/>
              </w:rPr>
              <w:t>Partially verified</w:t>
            </w:r>
            <w:r>
              <w:rPr>
                <w:sz w:val="14"/>
              </w:rPr>
              <w:t xml:space="preserve"> (author-hosted PDF: abstract, experimental results, conclusion)</w:t>
            </w:r>
          </w:p>
        </w:tc>
        <w:tc>
          <w:tcPr>
            <w:tcW w:type="dxa" w:w="850"/>
          </w:tcPr>
          <w:p>
            <w:pPr>
              <w:spacing w:after="0" w:line="240" w:lineRule="auto"/>
            </w:pPr>
            <w:r>
              <w:rPr>
                <w:b/>
                <w:sz w:val="14"/>
              </w:rPr>
              <w:t>yes</w:t>
            </w:r>
          </w:p>
        </w:tc>
        <w:tc>
          <w:tcPr>
            <w:tcW w:type="dxa" w:w="2494"/>
          </w:tcPr>
          <w:p>
            <w:pPr>
              <w:spacing w:after="0" w:line="240" w:lineRule="auto"/>
            </w:pPr>
            <w:r>
              <w:rPr>
                <w:sz w:val="14"/>
              </w:rPr>
              <w:t>—</w:t>
            </w:r>
          </w:p>
        </w:tc>
      </w:tr>
      <w:tr>
        <w:tc>
          <w:tcPr>
            <w:tcW w:type="dxa" w:w="510"/>
          </w:tcPr>
          <w:p>
            <w:pPr>
              <w:spacing w:after="0" w:line="240" w:lineRule="auto"/>
            </w:pPr>
            <w:r>
              <w:rPr>
                <w:sz w:val="14"/>
              </w:rPr>
              <w:t>[10]</w:t>
            </w:r>
          </w:p>
        </w:tc>
        <w:tc>
          <w:tcPr>
            <w:tcW w:type="dxa" w:w="1928"/>
          </w:tcPr>
          <w:p>
            <w:pPr>
              <w:spacing w:after="0" w:line="240" w:lineRule="auto"/>
            </w:pPr>
            <w:r>
              <w:rPr>
                <w:sz w:val="14"/>
              </w:rPr>
              <w:t>10.1145/3610300</w:t>
            </w:r>
          </w:p>
        </w:tc>
        <w:tc>
          <w:tcPr>
            <w:tcW w:type="dxa" w:w="1361"/>
          </w:tcPr>
          <w:p>
            <w:pPr>
              <w:spacing w:after="0" w:line="240" w:lineRule="auto"/>
            </w:pPr>
            <w:r>
              <w:rPr>
                <w:sz w:val="14"/>
              </w:rPr>
              <w:t>S2, Crossref, OpenAlex</w:t>
            </w:r>
          </w:p>
        </w:tc>
        <w:tc>
          <w:tcPr>
            <w:tcW w:type="dxa" w:w="2494"/>
          </w:tcPr>
          <w:p>
            <w:pPr>
              <w:spacing w:after="0" w:line="240" w:lineRule="auto"/>
            </w:pPr>
            <w:r>
              <w:rPr>
                <w:b/>
                <w:sz w:val="14"/>
              </w:rPr>
              <w:t>Abstract only</w:t>
            </w:r>
            <w:r>
              <w:rPr>
                <w:sz w:val="14"/>
              </w:rPr>
              <w:t xml:space="preserve"> (ACM lists a free PDF, but every route tried hit HTTP 403 or a bot check; not bypassed)</w:t>
            </w:r>
          </w:p>
        </w:tc>
        <w:tc>
          <w:tcPr>
            <w:tcW w:type="dxa" w:w="850"/>
          </w:tcPr>
          <w:p>
            <w:pPr>
              <w:spacing w:after="0" w:line="240" w:lineRule="auto"/>
            </w:pPr>
            <w:r>
              <w:rPr>
                <w:b/>
                <w:sz w:val="14"/>
              </w:rPr>
              <w:t>yes</w:t>
            </w:r>
          </w:p>
        </w:tc>
        <w:tc>
          <w:tcPr>
            <w:tcW w:type="dxa" w:w="2494"/>
          </w:tcPr>
          <w:p>
            <w:pPr>
              <w:spacing w:after="0" w:line="240" w:lineRule="auto"/>
            </w:pPr>
            <w:r>
              <w:rPr>
                <w:sz w:val="14"/>
              </w:rPr>
              <w:t>Free PDF should open in a normal browser: https://dl.acm.org/doi/pdf/10.1145/3610300</w:t>
            </w:r>
          </w:p>
        </w:tc>
      </w:tr>
      <w:tr>
        <w:tc>
          <w:tcPr>
            <w:tcW w:type="dxa" w:w="510"/>
          </w:tcPr>
          <w:p>
            <w:pPr>
              <w:spacing w:after="0" w:line="240" w:lineRule="auto"/>
            </w:pPr>
            <w:r>
              <w:rPr>
                <w:sz w:val="14"/>
              </w:rPr>
              <w:t>[11]</w:t>
            </w:r>
          </w:p>
        </w:tc>
        <w:tc>
          <w:tcPr>
            <w:tcW w:type="dxa" w:w="1928"/>
          </w:tcPr>
          <w:p>
            <w:pPr>
              <w:spacing w:after="0" w:line="240" w:lineRule="auto"/>
            </w:pPr>
            <w:r>
              <w:rPr>
                <w:sz w:val="14"/>
              </w:rPr>
              <w:t>10.1016/S0065-2458(08)60520-3</w:t>
            </w:r>
          </w:p>
        </w:tc>
        <w:tc>
          <w:tcPr>
            <w:tcW w:type="dxa" w:w="1361"/>
          </w:tcPr>
          <w:p>
            <w:pPr>
              <w:spacing w:after="0" w:line="240" w:lineRule="auto"/>
            </w:pPr>
            <w:r>
              <w:rPr>
                <w:sz w:val="14"/>
              </w:rPr>
              <w:t>Crossref</w:t>
            </w:r>
          </w:p>
        </w:tc>
        <w:tc>
          <w:tcPr>
            <w:tcW w:type="dxa" w:w="2494"/>
          </w:tcPr>
          <w:p>
            <w:pPr>
              <w:spacing w:after="0" w:line="240" w:lineRule="auto"/>
            </w:pPr>
            <w:r>
              <w:rPr>
                <w:b/>
                <w:sz w:val="14"/>
              </w:rPr>
              <w:t>Metadata only</w:t>
            </w:r>
            <w:r>
              <w:rPr>
                <w:sz w:val="14"/>
              </w:rPr>
              <w:t xml:space="preserve"> (definition also stated in [12] and [13], both read in full)</w:t>
            </w:r>
          </w:p>
        </w:tc>
        <w:tc>
          <w:tcPr>
            <w:tcW w:type="dxa" w:w="850"/>
          </w:tcPr>
          <w:p>
            <w:pPr>
              <w:spacing w:after="0" w:line="240" w:lineRule="auto"/>
            </w:pPr>
            <w:r>
              <w:rPr>
                <w:sz w:val="14"/>
              </w:rPr>
              <w:t>no (seminal)</w:t>
            </w:r>
          </w:p>
        </w:tc>
        <w:tc>
          <w:tcPr>
            <w:tcW w:type="dxa" w:w="2494"/>
          </w:tcPr>
          <w:p>
            <w:pPr>
              <w:spacing w:after="0" w:line="240" w:lineRule="auto"/>
            </w:pPr>
            <w:r>
              <w:rPr>
                <w:sz w:val="14"/>
              </w:rPr>
              <w:t>—</w:t>
            </w:r>
          </w:p>
        </w:tc>
      </w:tr>
      <w:tr>
        <w:tc>
          <w:tcPr>
            <w:tcW w:type="dxa" w:w="510"/>
          </w:tcPr>
          <w:p>
            <w:pPr>
              <w:spacing w:after="0" w:line="240" w:lineRule="auto"/>
            </w:pPr>
            <w:r>
              <w:rPr>
                <w:sz w:val="14"/>
              </w:rPr>
              <w:t>[12]</w:t>
            </w:r>
          </w:p>
        </w:tc>
        <w:tc>
          <w:tcPr>
            <w:tcW w:type="dxa" w:w="1928"/>
          </w:tcPr>
          <w:p>
            <w:pPr>
              <w:spacing w:after="0" w:line="240" w:lineRule="auto"/>
            </w:pPr>
            <w:r>
              <w:rPr>
                <w:sz w:val="14"/>
              </w:rPr>
              <w:t>10.1162/evco_a_00242</w:t>
            </w:r>
          </w:p>
        </w:tc>
        <w:tc>
          <w:tcPr>
            <w:tcW w:type="dxa" w:w="1361"/>
          </w:tcPr>
          <w:p>
            <w:pPr>
              <w:spacing w:after="0" w:line="240" w:lineRule="auto"/>
            </w:pPr>
            <w:r>
              <w:rPr>
                <w:sz w:val="14"/>
              </w:rPr>
              <w:t>S2, Crossref</w:t>
            </w:r>
          </w:p>
        </w:tc>
        <w:tc>
          <w:tcPr>
            <w:tcW w:type="dxa" w:w="2494"/>
          </w:tcPr>
          <w:p>
            <w:pPr>
              <w:spacing w:after="0" w:line="240" w:lineRule="auto"/>
            </w:pPr>
            <w:r>
              <w:rPr>
                <w:b/>
                <w:sz w:val="14"/>
              </w:rPr>
              <w:t>Full-text verified</w:t>
            </w:r>
            <w:r>
              <w:rPr>
                <w:sz w:val="14"/>
              </w:rPr>
              <w:t xml:space="preserve"> (arXiv 1811.11597 version, 47 pp.)</w:t>
            </w:r>
          </w:p>
        </w:tc>
        <w:tc>
          <w:tcPr>
            <w:tcW w:type="dxa" w:w="850"/>
          </w:tcPr>
          <w:p>
            <w:pPr>
              <w:spacing w:after="0" w:line="240" w:lineRule="auto"/>
            </w:pPr>
            <w:r>
              <w:rPr>
                <w:sz w:val="14"/>
              </w:rPr>
              <w:t>no</w:t>
            </w:r>
          </w:p>
        </w:tc>
        <w:tc>
          <w:tcPr>
            <w:tcW w:type="dxa" w:w="2494"/>
          </w:tcPr>
          <w:p>
            <w:pPr>
              <w:spacing w:after="0" w:line="240" w:lineRule="auto"/>
            </w:pPr>
            <w:r>
              <w:rPr>
                <w:sz w:val="14"/>
              </w:rPr>
              <w:t>S2 year 2018 vs Crossref 2019 → 2019</w:t>
            </w:r>
          </w:p>
        </w:tc>
      </w:tr>
      <w:tr>
        <w:tc>
          <w:tcPr>
            <w:tcW w:type="dxa" w:w="510"/>
          </w:tcPr>
          <w:p>
            <w:pPr>
              <w:spacing w:after="0" w:line="240" w:lineRule="auto"/>
            </w:pPr>
            <w:r>
              <w:rPr>
                <w:sz w:val="14"/>
              </w:rPr>
              <w:t>[13]</w:t>
            </w:r>
          </w:p>
        </w:tc>
        <w:tc>
          <w:tcPr>
            <w:tcW w:type="dxa" w:w="1928"/>
          </w:tcPr>
          <w:p>
            <w:pPr>
              <w:spacing w:after="0" w:line="240" w:lineRule="auto"/>
            </w:pPr>
            <w:r>
              <w:rPr>
                <w:sz w:val="14"/>
              </w:rPr>
              <w:t>10.1016/j.cor.2024.106827</w:t>
            </w:r>
          </w:p>
        </w:tc>
        <w:tc>
          <w:tcPr>
            <w:tcW w:type="dxa" w:w="1361"/>
          </w:tcPr>
          <w:p>
            <w:pPr>
              <w:spacing w:after="0" w:line="240" w:lineRule="auto"/>
            </w:pPr>
            <w:r>
              <w:rPr>
                <w:sz w:val="14"/>
              </w:rPr>
              <w:t>S2, Crossref, OpenAlex</w:t>
            </w:r>
          </w:p>
        </w:tc>
        <w:tc>
          <w:tcPr>
            <w:tcW w:type="dxa" w:w="2494"/>
          </w:tcPr>
          <w:p>
            <w:pPr>
              <w:spacing w:after="0" w:line="240" w:lineRule="auto"/>
            </w:pPr>
            <w:r>
              <w:rPr>
                <w:b/>
                <w:sz w:val="14"/>
              </w:rPr>
              <w:t>Full-text verified</w:t>
            </w:r>
            <w:r>
              <w:rPr>
                <w:sz w:val="14"/>
              </w:rPr>
              <w:t xml:space="preserve"> (open-access copy, CC BY-NC-ND, from the University of Augsburg OPUS repository; read: abstract, introduction, related work, ASP method, experimental setup, performance metric, results, conclusions)</w:t>
            </w:r>
          </w:p>
        </w:tc>
        <w:tc>
          <w:tcPr>
            <w:tcW w:type="dxa" w:w="850"/>
          </w:tcPr>
          <w:p>
            <w:pPr>
              <w:spacing w:after="0" w:line="240" w:lineRule="auto"/>
            </w:pPr>
            <w:r>
              <w:rPr>
                <w:b/>
                <w:sz w:val="14"/>
              </w:rPr>
              <w:t>yes</w:t>
            </w:r>
          </w:p>
        </w:tc>
        <w:tc>
          <w:tcPr>
            <w:tcW w:type="dxa" w:w="2494"/>
          </w:tcPr>
          <w:p>
            <w:pPr>
              <w:spacing w:after="0" w:line="240" w:lineRule="auto"/>
            </w:pPr>
            <w:r>
              <w:rPr>
                <w:sz w:val="14"/>
              </w:rPr>
              <w:t xml:space="preserve">39.19% is a mean relative improvement over the </w:t>
            </w:r>
            <w:r>
              <w:rPr>
                <w:i/>
                <w:sz w:val="14"/>
              </w:rPr>
              <w:t>worst</w:t>
            </w:r>
            <w:r>
              <w:rPr>
                <w:sz w:val="14"/>
              </w:rPr>
              <w:t xml:space="preserve"> of six compared methods (MRIW), not over a baseline; see recommendation C1. ScienceDirect blocked</w:t>
            </w:r>
          </w:p>
        </w:tc>
      </w:tr>
      <w:tr>
        <w:tc>
          <w:tcPr>
            <w:tcW w:type="dxa" w:w="510"/>
          </w:tcPr>
          <w:p>
            <w:pPr>
              <w:spacing w:after="0" w:line="240" w:lineRule="auto"/>
            </w:pPr>
            <w:r>
              <w:rPr>
                <w:sz w:val="14"/>
              </w:rPr>
              <w:t>[14]</w:t>
            </w:r>
          </w:p>
        </w:tc>
        <w:tc>
          <w:tcPr>
            <w:tcW w:type="dxa" w:w="1928"/>
          </w:tcPr>
          <w:p>
            <w:pPr>
              <w:spacing w:after="0" w:line="240" w:lineRule="auto"/>
            </w:pPr>
            <w:r>
              <w:rPr>
                <w:sz w:val="14"/>
              </w:rPr>
              <w:t>10.2307/4615733</w:t>
            </w:r>
          </w:p>
        </w:tc>
        <w:tc>
          <w:tcPr>
            <w:tcW w:type="dxa" w:w="1361"/>
          </w:tcPr>
          <w:p>
            <w:pPr>
              <w:spacing w:after="0" w:line="240" w:lineRule="auto"/>
            </w:pPr>
            <w:r>
              <w:rPr>
                <w:sz w:val="14"/>
              </w:rPr>
              <w:t>S2, OpenAlex</w:t>
            </w:r>
          </w:p>
        </w:tc>
        <w:tc>
          <w:tcPr>
            <w:tcW w:type="dxa" w:w="2494"/>
          </w:tcPr>
          <w:p>
            <w:pPr>
              <w:spacing w:after="0" w:line="240" w:lineRule="auto"/>
            </w:pPr>
            <w:r>
              <w:rPr>
                <w:b/>
                <w:sz w:val="14"/>
              </w:rPr>
              <w:t>Metadata only</w:t>
            </w:r>
            <w:r>
              <w:rPr>
                <w:sz w:val="14"/>
              </w:rPr>
              <w:t xml:space="preserve"> (method reference; JSTOR, not read)</w:t>
            </w:r>
          </w:p>
        </w:tc>
        <w:tc>
          <w:tcPr>
            <w:tcW w:type="dxa" w:w="850"/>
          </w:tcPr>
          <w:p>
            <w:pPr>
              <w:spacing w:after="0" w:line="240" w:lineRule="auto"/>
            </w:pPr>
            <w:r>
              <w:rPr>
                <w:sz w:val="14"/>
              </w:rPr>
              <w:t>no (methods)</w:t>
            </w:r>
          </w:p>
        </w:tc>
        <w:tc>
          <w:tcPr>
            <w:tcW w:type="dxa" w:w="2494"/>
          </w:tcPr>
          <w:p>
            <w:pPr>
              <w:spacing w:after="0" w:line="240" w:lineRule="auto"/>
            </w:pPr>
            <w:r>
              <w:rPr>
                <w:sz w:val="14"/>
              </w:rPr>
              <w:t>Crossref returns 404 for this JSTOR DOI</w:t>
            </w:r>
          </w:p>
        </w:tc>
      </w:tr>
      <w:tr>
        <w:tc>
          <w:tcPr>
            <w:tcW w:type="dxa" w:w="510"/>
          </w:tcPr>
          <w:p>
            <w:pPr>
              <w:spacing w:after="0" w:line="240" w:lineRule="auto"/>
            </w:pPr>
            <w:r>
              <w:rPr>
                <w:sz w:val="14"/>
              </w:rPr>
              <w:t>[15]</w:t>
            </w:r>
          </w:p>
        </w:tc>
        <w:tc>
          <w:tcPr>
            <w:tcW w:type="dxa" w:w="1928"/>
          </w:tcPr>
          <w:p>
            <w:pPr>
              <w:spacing w:after="0" w:line="240" w:lineRule="auto"/>
            </w:pPr>
            <w:r>
              <w:rPr>
                <w:sz w:val="14"/>
              </w:rPr>
              <w:t>10.2307/3001968</w:t>
            </w:r>
          </w:p>
        </w:tc>
        <w:tc>
          <w:tcPr>
            <w:tcW w:type="dxa" w:w="1361"/>
          </w:tcPr>
          <w:p>
            <w:pPr>
              <w:spacing w:after="0" w:line="240" w:lineRule="auto"/>
            </w:pPr>
            <w:r>
              <w:rPr>
                <w:sz w:val="14"/>
              </w:rPr>
              <w:t>Crossref, OpenAlex</w:t>
            </w:r>
          </w:p>
        </w:tc>
        <w:tc>
          <w:tcPr>
            <w:tcW w:type="dxa" w:w="2494"/>
          </w:tcPr>
          <w:p>
            <w:pPr>
              <w:spacing w:after="0" w:line="240" w:lineRule="auto"/>
            </w:pPr>
            <w:r>
              <w:rPr>
                <w:b/>
                <w:sz w:val="14"/>
              </w:rPr>
              <w:t>Metadata only</w:t>
            </w:r>
            <w:r>
              <w:rPr>
                <w:sz w:val="14"/>
              </w:rPr>
              <w:t xml:space="preserve"> (method reference; closed access)</w:t>
            </w:r>
          </w:p>
        </w:tc>
        <w:tc>
          <w:tcPr>
            <w:tcW w:type="dxa" w:w="850"/>
          </w:tcPr>
          <w:p>
            <w:pPr>
              <w:spacing w:after="0" w:line="240" w:lineRule="auto"/>
            </w:pPr>
            <w:r>
              <w:rPr>
                <w:sz w:val="14"/>
              </w:rPr>
              <w:t>no (methods)</w:t>
            </w:r>
          </w:p>
        </w:tc>
        <w:tc>
          <w:tcPr>
            <w:tcW w:type="dxa" w:w="2494"/>
          </w:tcPr>
          <w:p>
            <w:pPr>
              <w:spacing w:after="0" w:line="240" w:lineRule="auto"/>
            </w:pPr>
            <w:r>
              <w:rPr>
                <w:sz w:val="14"/>
              </w:rPr>
              <w:t>Records give only the first page (80), so no page range is cited</w:t>
            </w:r>
          </w:p>
        </w:tc>
      </w:tr>
      <w:tr>
        <w:tc>
          <w:tcPr>
            <w:tcW w:type="dxa" w:w="510"/>
          </w:tcPr>
          <w:p>
            <w:pPr>
              <w:spacing w:after="0" w:line="240" w:lineRule="auto"/>
            </w:pPr>
            <w:r>
              <w:rPr>
                <w:sz w:val="14"/>
              </w:rPr>
              <w:t>[16]</w:t>
            </w:r>
          </w:p>
        </w:tc>
        <w:tc>
          <w:tcPr>
            <w:tcW w:type="dxa" w:w="1928"/>
          </w:tcPr>
          <w:p>
            <w:pPr>
              <w:spacing w:after="0" w:line="240" w:lineRule="auto"/>
            </w:pPr>
            <w:r>
              <w:rPr>
                <w:sz w:val="14"/>
              </w:rPr>
              <w:t>10.1214/ss/1177013815</w:t>
            </w:r>
          </w:p>
        </w:tc>
        <w:tc>
          <w:tcPr>
            <w:tcW w:type="dxa" w:w="1361"/>
          </w:tcPr>
          <w:p>
            <w:pPr>
              <w:spacing w:after="0" w:line="240" w:lineRule="auto"/>
            </w:pPr>
            <w:r>
              <w:rPr>
                <w:sz w:val="14"/>
              </w:rPr>
              <w:t>S2, OpenAlex, Project Euclid record</w:t>
            </w:r>
          </w:p>
        </w:tc>
        <w:tc>
          <w:tcPr>
            <w:tcW w:type="dxa" w:w="2494"/>
          </w:tcPr>
          <w:p>
            <w:pPr>
              <w:spacing w:after="0" w:line="240" w:lineRule="auto"/>
            </w:pPr>
            <w:r>
              <w:rPr>
                <w:b/>
                <w:sz w:val="14"/>
              </w:rPr>
              <w:t>Abstract only</w:t>
            </w:r>
            <w:r>
              <w:rPr>
                <w:sz w:val="14"/>
              </w:rPr>
              <w:t xml:space="preserve"> (states the last third "deals mainly with bootstrap confidence intervals"; Project Euclid lists a free PDF, but it is behind a security check, not bypassed; no other open copy found)</w:t>
            </w:r>
          </w:p>
        </w:tc>
        <w:tc>
          <w:tcPr>
            <w:tcW w:type="dxa" w:w="850"/>
          </w:tcPr>
          <w:p>
            <w:pPr>
              <w:spacing w:after="0" w:line="240" w:lineRule="auto"/>
            </w:pPr>
            <w:r>
              <w:rPr>
                <w:sz w:val="14"/>
              </w:rPr>
              <w:t>no (methods)</w:t>
            </w:r>
          </w:p>
        </w:tc>
        <w:tc>
          <w:tcPr>
            <w:tcW w:type="dxa" w:w="2494"/>
          </w:tcPr>
          <w:p>
            <w:pPr>
              <w:spacing w:after="0" w:line="240" w:lineRule="auto"/>
            </w:pPr>
            <w:r>
              <w:rPr>
                <w:sz w:val="14"/>
              </w:rPr>
              <w:t>Percentile method not confirmed in this paper's text; see recommendation C4</w:t>
            </w:r>
          </w:p>
        </w:tc>
      </w:tr>
    </w:tbl>
    <w:p>
      <w:pPr>
        <w:spacing w:after="40"/>
      </w:pPr>
    </w:p>
    <w:p>
      <w:pPr>
        <w:jc w:val="both"/>
      </w:pPr>
      <w:r>
        <w:rPr>
          <w:b/>
        </w:rPr>
        <w:t>Manual requirement:</w:t>
      </w:r>
      <w:r>
        <w:rPr/>
        <w:t xml:space="preserve"> at least 5 scholarly papers, at least 3 recent → </w:t>
      </w:r>
      <w:r>
        <w:rPr>
          <w:b/>
        </w:rPr>
        <w:t>met</w:t>
      </w:r>
      <w:r>
        <w:rPr/>
        <w:t xml:space="preserve">: 16 references (13 scholarly works on the topic plus three statistics method references); </w:t>
      </w:r>
      <w:r>
        <w:rPr>
          <w:b/>
        </w:rPr>
        <w:t>5</w:t>
      </w:r>
      <w:r>
        <w:rPr/>
        <w:t xml:space="preserve"> published 2021 or later: [6], [7], [9], [10], [13].</w:t>
      </w:r>
    </w:p>
    <w:p>
      <w:pPr>
        <w:jc w:val="both"/>
      </w:pPr>
      <w:r>
        <w:rPr>
          <w:b/>
        </w:rPr>
        <w:t>Content-verification status:</w:t>
      </w:r>
      <w:r>
        <w:rPr/>
        <w:t xml:space="preserve"> full-text verified — [1], [4], [8], [12], [13]; partially verified — [2], [3], [5], [9]; abstract only — [6], [7], [10], [16]; metadata only — [11], [14], [15]. Of the five recent works, [9] and [13] have been read (partly and fully); [6], [7] and [10] are still checked against their abstracts only.</w:t>
      </w:r>
    </w:p>
    <w:p>
      <w:pPr>
        <w:jc w:val="both"/>
      </w:pPr>
      <w:r>
        <w:rPr>
          <w:b/>
        </w:rPr>
        <w:t>Author names</w:t>
      </w:r>
      <w:r>
        <w:rPr/>
        <w:t xml:space="preserve"> are given as in the record used (initials where the record gives initials).</w:t>
      </w:r>
    </w:p>
    <w:p>
      <w:pPr>
        <w:jc w:val="both"/>
      </w:pPr>
      <w:r>
        <w:rPr>
          <w:b/>
        </w:rPr>
        <w:t>Considered and not cited:</w:t>
      </w:r>
      <w:r>
        <w:rPr/>
        <w:t xml:space="preserve"> Y.-T. Song </w:t>
      </w:r>
      <w:r>
        <w:rPr>
          <w:i/>
        </w:rPr>
        <w:t>et al.</w:t>
      </w:r>
      <w:r>
        <w:rPr/>
        <w:t xml:space="preserve">, </w:t>
      </w:r>
      <w:r>
        <w:rPr>
          <w:i/>
        </w:rPr>
        <w:t>Comput. Electr. Eng.</w:t>
      </w:r>
      <w:r>
        <w:rPr/>
        <w:t xml:space="preserve"> 107 (2023), DOI 10.1016/j.compeleceng.2023.108653 — metadata verified, but no abstract was retrievable.</w:t>
      </w:r>
    </w:p>
    <w:p>
      <w:pPr>
        <w:pStyle w:val="Heading2"/>
      </w:pPr>
      <w:r>
        <w:t>Claim check against the integrated report (2026-10-17)</w:t>
      </w:r>
    </w:p>
    <w:p>
      <w:pPr>
        <w:jc w:val="both"/>
      </w:pPr>
      <w:r>
        <w:rPr/>
        <w:t xml:space="preserve">Every sentence in </w:t>
      </w:r>
      <w:r>
        <w:rPr>
          <w:rFonts w:ascii="Consolas" w:hAnsi="Consolas"/>
          <w:sz w:val="19"/>
        </w:rPr>
        <w:t>CS15_Integrated_Report_DRAFT.md</w:t>
      </w:r>
      <w:r>
        <w:rPr/>
        <w:t xml:space="preserve"> that cites [1], [4]–[7], [10], [13] or [16] was checked against what was read. Corrections C1–C5 below were </w:t>
      </w:r>
      <w:r>
        <w:rPr>
          <w:b/>
        </w:rPr>
        <w:t>applied</w:t>
      </w:r>
      <w:r>
        <w:rPr/>
        <w:t xml:space="preserve"> to the report on 2026-10-17 (C4 as option (b); the same C4 wording was applied to the technical note). The sentences quoted are the earlier wording.</w:t>
      </w:r>
    </w:p>
    <w:p>
      <w:pPr>
        <w:jc w:val="both"/>
      </w:pPr>
      <w:r>
        <w:rPr>
          <w:b/>
        </w:rPr>
        <w:t>Supported as written</w:t>
      </w:r>
    </w:p>
    <w:p>
      <w:pPr>
        <w:pStyle w:val="ListBullet"/>
        <w:spacing w:after="20"/>
      </w:pPr>
      <w:r>
        <w:rPr/>
        <w:t>§3.1 "Finding an optimal schedule is NP-complete in the general case [1], [2]" — [1] §3: "The DAG scheduling problem is in general an NP-complete problem".</w:t>
      </w:r>
    </w:p>
    <w:p>
      <w:pPr>
        <w:pStyle w:val="ListBullet"/>
        <w:spacing w:after="20"/>
      </w:pPr>
      <w:r>
        <w:rPr/>
        <w:t>§3.2 "Kwok and Ahmad [1] surveyed and classified 27 static algorithms …" — abstract and §4 taxonomy. The listed vocabulary (task priority, processor selection, insertion into idle slots, random-graph evaluation) all appears in §5–§6 and in the studies the survey reports.</w:t>
      </w:r>
    </w:p>
    <w:p>
      <w:pPr>
        <w:pStyle w:val="ListBullet"/>
        <w:spacing w:after="20"/>
      </w:pPr>
      <w:r>
        <w:rPr/>
        <w:t>§3.2 "Hou, Ansari and Ren [4] applied a genetic algorithm … compared it with list scheduling and optimal schedules on random task graphs" — §VIII and Tables I–IV of [4].</w:t>
      </w:r>
    </w:p>
    <w:p>
      <w:pPr>
        <w:pStyle w:val="ListBullet"/>
        <w:spacing w:after="20"/>
      </w:pPr>
      <w:r>
        <w:rPr/>
        <w:t>§3.2 "Bean [5] presented a genetic algorithm with random keys … including multiple-machine scheduling" — abstract and §1 of the technical-report version.</w:t>
      </w:r>
    </w:p>
    <w:p>
      <w:pPr>
        <w:pStyle w:val="ListBullet"/>
        <w:spacing w:after="20"/>
      </w:pPr>
      <w:r>
        <w:rPr/>
        <w:t>§3.2 [6]: guided chromosomes; better average makespan than two GAs and HEFT/PEFT — abstract.</w:t>
      </w:r>
    </w:p>
    <w:p>
      <w:pPr>
        <w:pStyle w:val="ListBullet"/>
        <w:spacing w:after="20"/>
      </w:pPr>
      <w:r>
        <w:rPr/>
        <w:t>§3.2 [7]: "every chromosome decodes to a precedence-valid schedule, simplifying the genetic operators" — abstract.</w:t>
      </w:r>
    </w:p>
    <w:p>
      <w:pPr>
        <w:pStyle w:val="ListBullet"/>
        <w:spacing w:after="20"/>
      </w:pPr>
      <w:r>
        <w:rPr/>
        <w:t>§3.2 [10]: rule chosen per step by multi-agent RL; average 5.32% over DONF on random DAGs — abstract.</w:t>
      </w:r>
    </w:p>
    <w:p>
      <w:pPr>
        <w:pStyle w:val="ListBullet"/>
        <w:spacing w:after="20"/>
      </w:pPr>
      <w:r>
        <w:rPr/>
        <w:t>§3.2 [13]: ML selection among construction heuristics, then GA improvement — full text (§§2, 4, 5, 8).</w:t>
      </w:r>
    </w:p>
    <w:p>
      <w:pPr>
        <w:pStyle w:val="ListBullet"/>
        <w:spacing w:after="20"/>
      </w:pPr>
      <w:r>
        <w:rPr/>
        <w:t>§3.3 research gap: [13]'s gains come from a different problem class (serial-batch scheduling with weighted tardiness) — full text; [10]'s from step-level rule switching — abstract.</w:t>
      </w:r>
    </w:p>
    <w:p>
      <w:pPr>
        <w:jc w:val="both"/>
      </w:pPr>
      <w:r>
        <w:rPr>
          <w:b/>
        </w:rPr>
        <w:t>Corrections (applied 2026-10-17)</w:t>
      </w:r>
    </w:p>
    <w:p>
      <w:pPr>
        <w:pStyle w:val="ListBullet"/>
        <w:spacing w:after="20"/>
      </w:pPr>
      <w:r>
        <w:rPr>
          <w:b/>
        </w:rPr>
        <w:t>C1 ([13], §3.2, needed).</w:t>
      </w:r>
      <w:r>
        <w:rPr/>
        <w:t xml:space="preserve"> Sentence: "Uzunoglu </w:t>
      </w:r>
      <w:r>
        <w:rPr>
          <w:i/>
        </w:rPr>
        <w:t>et al.</w:t>
      </w:r>
      <w:r>
        <w:rPr/>
        <w:t xml:space="preserve"> [13] used machine-learning selection among construction heuristics for a serial-batch scheduling problem, followed by GA improvement, and reported a 39.19% average increase in solution quality." The full text defines 39.19% as the MRIW of the best GA (GA-J2P): the mean relative improvement over the worst final objective value among the six methods compared (§6.3, Table 9). It is not an improvement over a baseline. Suggested replacement: "Uzunoglu </w:t>
      </w:r>
      <w:r>
        <w:rPr>
          <w:i/>
        </w:rPr>
        <w:t>et al.</w:t>
      </w:r>
      <w:r>
        <w:rPr/>
        <w:t xml:space="preserve"> [13] used learning-to-rank models to select, per instance, among learning-augmented construction heuristics for a serial-batch scheduling problem. Selection beat the single best heuristic in every size group (mean relative improvement over the worst compared method, 6.42% vs 2.23%), and GA improvement of the selected solutions raised it to 39.19%." This also strengthens the S03 discussion, since [13] is a case where per-instance selection did beat the single best solver. Applied; the report remains 12 pages in Microsoft Word.</w:t>
      </w:r>
    </w:p>
    <w:p>
      <w:pPr>
        <w:pStyle w:val="ListBullet"/>
        <w:spacing w:after="20"/>
      </w:pPr>
      <w:r>
        <w:rPr>
          <w:b/>
        </w:rPr>
        <w:t>C2 ([6], §3.2, recommended).</w:t>
      </w:r>
      <w:r>
        <w:rPr/>
        <w:t xml:space="preserve"> Sentence: "Optimization time is reported in [6] but the quality–time trade-off against a microsecond-scale heuristic is not the focus." The abstract states that the method also performs better on "average running time" than its counterparts. Without the full text, "not the focus" cannot be checked. Suggested replacement: "[6]'s abstract reports better average running time than its counterparts; how that time compares with HEFT's could not be checked, as the full text was not accessible."</w:t>
      </w:r>
    </w:p>
    <w:p>
      <w:pPr>
        <w:pStyle w:val="ListBullet"/>
        <w:spacing w:after="20"/>
      </w:pPr>
      <w:r>
        <w:rPr>
          <w:b/>
        </w:rPr>
        <w:t>C3 ([10], §3.2, recommended).</w:t>
      </w:r>
      <w:r>
        <w:rPr/>
        <w:t xml:space="preserve"> Sentence: "</w:t>
      </w:r>
      <w:r>
        <w:rPr>
          <w:i/>
        </w:rPr>
        <w:t>Limitations relative to our question:</w:t>
      </w:r>
      <w:r>
        <w:rPr/>
        <w:t xml:space="preserve"> gains are reported in settings with stochastic durations, cluster dynamics or step-level rule switching, against baselines whose placement rules and overheads differ; the RL policy's own inference overhead and training cost are not the headline metric." For [8] and [9] this rests on text that was read; for [10] only on its abstract. Suggested change: insert "(for [10], from its abstract)" after "headline metric", matching the "(from the abstracts)" scoping already used in the evolutionary paragraph.</w:t>
      </w:r>
    </w:p>
    <w:p>
      <w:pPr>
        <w:pStyle w:val="ListBullet"/>
        <w:spacing w:after="20"/>
      </w:pPr>
      <w:r>
        <w:rPr>
          <w:b/>
        </w:rPr>
        <w:t>C4 ([16], §3.2 and §6, conditional).</w:t>
      </w:r>
      <w:r>
        <w:rPr/>
        <w:t xml:space="preserve"> Sentences: "effect sizes carry percentile bootstrap confidence intervals [16]" and "95% percentile-bootstrap CIs [16]". [16]'s abstract confirms that it covers bootstrap confidence intervals, but its description of the percentile interval was not read. Options: (a) open the free Project Euclid PDF in a normal browser and confirm the percentile interval in its confidence-interval part; or (b) change the wording to "bootstrap confidence intervals (percentile method) [16]", keeping the citation for bootstrap intervals in general. A candidate primary source for the percentile method itself is B. Efron, "Nonparametric standard errors and confidence intervals," </w:t>
      </w:r>
      <w:r>
        <w:rPr>
          <w:i/>
        </w:rPr>
        <w:t>Canadian Journal of Statistics</w:t>
      </w:r>
      <w:r>
        <w:rPr/>
        <w:t xml:space="preserve">, vol. 9, no. 2, 1981, §4 "The percentile method". It was seen only in a search excerpt; its record and DOI have not been verified, so it is </w:t>
      </w:r>
      <w:r>
        <w:rPr>
          <w:b/>
        </w:rPr>
        <w:t>not</w:t>
      </w:r>
      <w:r>
        <w:rPr/>
        <w:t xml:space="preserve"> added. Applied as option (b): §3.2 "bootstrap confidence intervals (percentile method) [16]"; §6 "95% bootstrap CIs (percentile method) [16]"; note §2 the same wording with [7].</w:t>
      </w:r>
    </w:p>
    <w:p>
      <w:pPr>
        <w:pStyle w:val="ListBullet"/>
        <w:spacing w:after="20"/>
      </w:pPr>
      <w:r>
        <w:rPr>
          <w:b/>
        </w:rPr>
        <w:t>C5 ([1], §3.2, optional wording).</w:t>
      </w:r>
      <w:r>
        <w:rPr/>
        <w:t xml:space="preserve"> "established the vocabulary used here" → "describe the vocabulary used here" (subject: Kwok and Ahmad). The survey collects terms that predate it; the content is supported either way.</w:t>
      </w:r>
    </w:p>
    <w:p>
      <w:pPr>
        <w:jc w:val="both"/>
      </w:pPr>
      <w:r>
        <w:rPr>
          <w:b/>
        </w:rPr>
        <w:t>Access log (legitimate routes only; no bot check, CAPTCHA or login was bypassed).</w:t>
      </w:r>
    </w:p>
    <w:p>
      <w:pPr>
        <w:pStyle w:val="ListBullet"/>
        <w:spacing w:after="20"/>
      </w:pPr>
      <w:r>
        <w:rPr>
          <w:b/>
        </w:rPr>
        <w:t>[1]:</w:t>
      </w:r>
      <w:r>
        <w:rPr/>
        <w:t xml:space="preserve"> ACM blocked (403 / bot check). Author page copy at ranger.uta.edu obtained.</w:t>
      </w:r>
    </w:p>
    <w:p>
      <w:pPr>
        <w:pStyle w:val="ListBullet"/>
        <w:spacing w:after="20"/>
      </w:pPr>
      <w:r>
        <w:rPr>
          <w:b/>
        </w:rPr>
        <w:t>[4]:</w:t>
      </w:r>
      <w:r>
        <w:rPr/>
        <w:t xml:space="preserve"> IEEE closed. Author page copy at web.njit.edu (scanned) obtained.</w:t>
      </w:r>
    </w:p>
    <w:p>
      <w:pPr>
        <w:pStyle w:val="ListBullet"/>
        <w:spacing w:after="20"/>
      </w:pPr>
      <w:r>
        <w:rPr>
          <w:b/>
        </w:rPr>
        <w:t>[5]:</w:t>
      </w:r>
      <w:r>
        <w:rPr/>
        <w:t xml:space="preserve"> INFORMS closed. Deep Blue technical report: only the first pages were readable; the PDF itself is gated by a browser script.</w:t>
      </w:r>
    </w:p>
    <w:p>
      <w:pPr>
        <w:pStyle w:val="ListBullet"/>
        <w:spacing w:after="20"/>
      </w:pPr>
      <w:r>
        <w:rPr>
          <w:b/>
        </w:rPr>
        <w:t>[6]:</w:t>
      </w:r>
      <w:r>
        <w:rPr/>
        <w:t xml:space="preserve"> Springer paywall. HAL record has no file; Unpaywall and OpenAlex show no open copy.</w:t>
      </w:r>
    </w:p>
    <w:p>
      <w:pPr>
        <w:pStyle w:val="ListBullet"/>
        <w:spacing w:after="20"/>
      </w:pPr>
      <w:r>
        <w:rPr>
          <w:b/>
        </w:rPr>
        <w:t>[7]:</w:t>
      </w:r>
      <w:r>
        <w:rPr/>
        <w:t xml:space="preserve"> IEEE closed; OpenAlex and Unpaywall show no open copy.</w:t>
      </w:r>
    </w:p>
    <w:p>
      <w:pPr>
        <w:pStyle w:val="ListBullet"/>
        <w:spacing w:after="20"/>
      </w:pPr>
      <w:r>
        <w:rPr>
          <w:b/>
        </w:rPr>
        <w:t>[10]:</w:t>
      </w:r>
      <w:r>
        <w:rPr/>
        <w:t xml:space="preserve"> ACM free PDF blocked (403 / bot check); no preprint found.</w:t>
      </w:r>
    </w:p>
    <w:p>
      <w:pPr>
        <w:pStyle w:val="ListBullet"/>
        <w:spacing w:after="20"/>
      </w:pPr>
      <w:r>
        <w:rPr>
          <w:b/>
        </w:rPr>
        <w:t>[13]:</w:t>
      </w:r>
      <w:r>
        <w:rPr/>
        <w:t xml:space="preserve"> ScienceDirect blocked. University of Augsburg OPUS repository copy obtained.</w:t>
      </w:r>
    </w:p>
    <w:p>
      <w:pPr>
        <w:pStyle w:val="ListBullet"/>
        <w:spacing w:after="20"/>
      </w:pPr>
      <w:r>
        <w:rPr>
          <w:b/>
        </w:rPr>
        <w:t>[16]:</w:t>
      </w:r>
      <w:r>
        <w:rPr/>
        <w:t xml:space="preserve"> Project Euclid free PDF behind a security check; no other open copy found.</w:t>
      </w:r>
    </w:p>
    <w:p>
      <w:pPr>
        <w:jc w:val="both"/>
      </w:pPr>
      <w:r>
        <w:rPr>
          <w:b/>
        </w:rPr>
        <w:t>Still to verify (you, in a normal browser or with library access):</w:t>
      </w:r>
    </w:p>
    <w:p>
      <w:pPr>
        <w:pStyle w:val="ListBullet"/>
        <w:spacing w:after="20"/>
      </w:pPr>
      <w:r>
        <w:rPr/>
        <w:t>[10] via the free ACM PDF;</w:t>
      </w:r>
    </w:p>
    <w:p>
      <w:pPr>
        <w:pStyle w:val="ListBullet"/>
        <w:spacing w:after="20"/>
      </w:pPr>
      <w:r>
        <w:rPr/>
        <w:t>[16]'s percentile interval via the free Project Euclid PDF;</w:t>
      </w:r>
    </w:p>
    <w:p>
      <w:pPr>
        <w:pStyle w:val="ListBullet"/>
        <w:spacing w:after="20"/>
      </w:pPr>
      <w:r>
        <w:rPr/>
        <w:t>full texts of [6] and [7] (paywalled);</w:t>
      </w:r>
    </w:p>
    <w:p>
      <w:pPr>
        <w:pStyle w:val="ListBullet"/>
        <w:spacing w:after="20"/>
      </w:pPr>
      <w:r>
        <w:rPr/>
        <w:t>the published version of [5];</w:t>
      </w:r>
    </w:p>
    <w:p>
      <w:pPr>
        <w:pStyle w:val="ListBullet"/>
        <w:spacing w:after="20"/>
      </w:pPr>
      <w:r>
        <w:rPr/>
        <w:t>optionally [14] and [15], if the method references should be read rather than cited by name.</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BCSE412L Parallel Computing — CS15 Literature Review and References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b w:val="0"/>
      <w:bCs/>
      <w:i/>
      <w:color w:val="33333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