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20"/>
      </w:pPr>
      <w:r>
        <w:rPr>
          <w:rFonts w:ascii="Consolas" w:cs="Consolas" w:eastAsia="Consolas" w:hAnsi="Consolas"/>
          <w:color w:val="6B7784"/>
          <w:spacing w:val="40"/>
          <w:sz w:val="17"/>
          <w:szCs w:val="17"/>
        </w:rPr>
        <w:t xml:space="preserve">TECHNICAL REPORT  ·  V1  ·  PAPER TRADING ONLY</w:t>
      </w:r>
    </w:p>
    <w:p>
      <w:pPr>
        <w:spacing w:after="140"/>
      </w:pPr>
      <w:r>
        <w:rPr>
          <w:rFonts w:ascii="Georgia" w:cs="Georgia" w:eastAsia="Georgia" w:hAnsi="Georgia"/>
          <w:b/>
          <w:bCs/>
          <w:color w:val="131A21"/>
          <w:sz w:val="64"/>
          <w:szCs w:val="64"/>
        </w:rPr>
        <w:t xml:space="preserve">Paper Trading Agent</w:t>
      </w:r>
    </w:p>
    <w:p>
      <w:pPr>
        <w:pBdr>
          <w:bottom w:val="single" w:color="131A21" w:sz="12" w:space="12"/>
        </w:pBdr>
        <w:spacing w:after="340"/>
      </w:pPr>
      <w:r>
        <w:rPr>
          <w:rFonts w:ascii="Georgia" w:cs="Georgia" w:eastAsia="Georgia" w:hAnsi="Georgia"/>
          <w:i/>
          <w:iCs/>
          <w:color w:val="6B7784"/>
          <w:sz w:val="26"/>
          <w:szCs w:val="26"/>
        </w:rPr>
        <w:t xml:space="preserve">A multi-agent decision system, built in six phases and evaluated honestly</w:t>
      </w:r>
    </w:p>
    <w:p>
      <w:pPr>
        <w:spacing w:after="200" w:before="0" w:line="300"/>
      </w:pPr>
      <w:r>
        <w:rPr>
          <w:rFonts w:ascii="Georgia" w:cs="Georgia" w:eastAsia="Georgia" w:hAnsi="Georgia"/>
          <w:b w:val="false"/>
          <w:bCs w:val="false"/>
          <w:i w:val="false"/>
          <w:iCs w:val="false"/>
          <w:color w:val="414E5B"/>
          <w:sz w:val="23"/>
          <w:szCs w:val="23"/>
        </w:rPr>
        <w:t xml:space="preserve">This report documents the design, implementation, evaluation and deployment of a paper-trading decision-support agent, together with its headline result: the strategy has no measurable edge.</w:t>
      </w:r>
    </w:p>
    <w:p>
      <w:pPr>
        <w:spacing w:after="400" w:before="0" w:line="300"/>
      </w:pPr>
      <w:r>
        <w:rPr>
          <w:rFonts w:ascii="Calibri" w:cs="Calibri" w:eastAsia="Calibri" w:hAnsi="Calibri"/>
          <w:b w:val="false"/>
          <w:bCs w:val="false"/>
          <w:i w:val="false"/>
          <w:iCs w:val="false"/>
          <w:color w:val="131A21"/>
          <w:sz w:val="21"/>
          <w:szCs w:val="21"/>
        </w:rPr>
        <w:t xml:space="preserve">The system runs end to end. It fetches real market data, reasons with real language models over real news, persists to a real database, ships through a real CI pipeline and deploys to real cloud infrastructure. Across seven backtests it does not beat buying the stock and holding it. That result, and the machinery built to establish it, are the subject of this document.</w:t>
      </w:r>
    </w:p>
    <w:p>
      <w:pPr>
        <w:spacing w:after="60"/>
      </w:pPr>
      <w:r>
        <w:rPr>
          <w:rFonts w:ascii="Calibri" w:cs="Calibri" w:eastAsia="Calibri" w:hAnsi="Calibri"/>
          <w:b/>
          <w:bCs/>
          <w:color w:val="131A21"/>
          <w:sz w:val="22"/>
          <w:szCs w:val="22"/>
        </w:rPr>
        <w:t xml:space="preserve">Pranav Thota</w:t>
      </w:r>
    </w:p>
    <w:p>
      <w:pPr>
        <w:spacing w:after="60"/>
      </w:pPr>
      <w:r>
        <w:rPr>
          <w:rFonts w:ascii="Consolas" w:cs="Consolas" w:eastAsia="Consolas" w:hAnsi="Consolas"/>
          <w:color w:val="6B7784"/>
          <w:sz w:val="19"/>
          <w:szCs w:val="19"/>
        </w:rPr>
        <w:t xml:space="preserve">9 September 2026</w:t>
      </w:r>
    </w:p>
    <w:p>
      <w:pPr>
        <w:spacing w:after="0"/>
      </w:pPr>
      <w:r>
        <w:rPr>
          <w:rFonts w:ascii="Consolas" w:cs="Consolas" w:eastAsia="Consolas" w:hAnsi="Consolas"/>
          <w:color w:val="24446E"/>
          <w:sz w:val="19"/>
          <w:szCs w:val="19"/>
        </w:rPr>
        <w:t xml:space="preserve">github.com/Pranav240/paper-trading-agent</w:t>
      </w:r>
    </w:p>
    <w:p>
      <w:r>
        <w:br w:type="page"/>
      </w:r>
    </w:p>
    <w:p>
      <w:pPr>
        <w:pStyle w:val="Heading1"/>
        <w:pBdr>
          <w:bottom w:val="single" w:color="131A21" w:sz="8" w:space="6"/>
        </w:pBdr>
        <w:spacing w:after="90" w:before="460"/>
      </w:pPr>
      <w:r>
        <w:rPr>
          <w:rFonts w:ascii="Georgia" w:cs="Georgia" w:eastAsia="Georgia" w:hAnsi="Georgia"/>
          <w:b/>
          <w:bCs/>
          <w:color w:val="131A21"/>
          <w:sz w:val="30"/>
          <w:szCs w:val="30"/>
        </w:rPr>
        <w:t xml:space="preserve">Contents</w:t>
      </w:r>
    </w:p>
    <w:p>
      <w:pPr>
        <w:spacing w:after="200" w:before="0" w:line="300"/>
      </w:pPr>
      <w:r>
        <w:rPr>
          <w:rFonts w:ascii="Calibri" w:cs="Calibri" w:eastAsia="Calibri" w:hAnsi="Calibri"/>
          <w:b w:val="false"/>
          <w:bCs w:val="false"/>
          <w:i/>
          <w:iCs/>
          <w:color w:val="6B7784"/>
          <w:sz w:val="18"/>
          <w:szCs w:val="18"/>
        </w:rPr>
        <w:t xml:space="preserve">If the list below shows a placeholder, click it and press F9 to build it. Word populates table-of-contents fields on demand rather than at file-creation time.</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31A21" w:sz="8" w:space="6"/>
        </w:pBdr>
        <w:spacing w:after="90" w:before="460"/>
      </w:pPr>
      <w:r>
        <w:rPr>
          <w:rFonts w:ascii="Georgia" w:cs="Georgia" w:eastAsia="Georgia" w:hAnsi="Georgia"/>
          <w:b/>
          <w:bCs/>
          <w:color w:val="131A21"/>
          <w:sz w:val="30"/>
          <w:szCs w:val="30"/>
        </w:rPr>
        <w:t xml:space="preserve">1  Executive summary</w:t>
      </w:r>
    </w:p>
    <w:p>
      <w:pPr>
        <w:spacing w:after="140" w:before="0" w:line="300"/>
      </w:pPr>
      <w:r>
        <w:rPr>
          <w:rFonts w:ascii="Calibri" w:cs="Calibri" w:eastAsia="Calibri" w:hAnsi="Calibri"/>
          <w:b w:val="false"/>
          <w:bCs w:val="false"/>
          <w:i w:val="false"/>
          <w:iCs w:val="false"/>
          <w:color w:val="131A21"/>
          <w:sz w:val="21"/>
          <w:szCs w:val="21"/>
        </w:rPr>
        <w:t xml:space="preserve">This project set out to close six engineering gaps by building a single working system rather than six disconnected exercises: a backend API, a real relational database, agentic orchestration, LLM fine-tuning, containerisation with CI/CD, and cloud deployment. All six were addressed. Five shipped working software. The sixth was investigated to a conclusion and the conclusion was negative.</w:t>
      </w:r>
    </w:p>
    <w:p>
      <w:pPr>
        <w:spacing w:after="140" w:before="0" w:line="300"/>
      </w:pPr>
      <w:r>
        <w:rPr>
          <w:rFonts w:ascii="Calibri" w:cs="Calibri" w:eastAsia="Calibri" w:hAnsi="Calibri"/>
          <w:b w:val="false"/>
          <w:bCs w:val="false"/>
          <w:i w:val="false"/>
          <w:iCs w:val="false"/>
          <w:color w:val="131A21"/>
          <w:sz w:val="21"/>
          <w:szCs w:val="21"/>
        </w:rPr>
        <w:t xml:space="preserve">The system is a daily paper-trading decision-support agent. Four specialist nodes — two rule-based, two backed by language models — read price history and news headlines for a watchlist symbol, propose a trade, and pass it through a risk gate that holds final authority. Every decision, every agent opinion and every simulated fill is persisted and auditable.</w:t>
      </w:r>
    </w:p>
    <w:p>
      <w:pPr>
        <w:pStyle w:val="Heading3"/>
        <w:spacing w:after="60" w:before="240"/>
      </w:pPr>
      <w:r>
        <w:rPr>
          <w:rFonts w:ascii="Calibri" w:cs="Calibri" w:eastAsia="Calibri" w:hAnsi="Calibri"/>
          <w:b/>
          <w:bCs/>
          <w:color w:val="24446E"/>
          <w:sz w:val="20"/>
          <w:szCs w:val="20"/>
        </w:rPr>
        <w:t xml:space="preserve">The headline result</w:t>
      </w:r>
    </w:p>
    <w:p>
      <w:pPr>
        <w:spacing w:after="140" w:before="0" w:line="300"/>
      </w:pPr>
      <w:r>
        <w:rPr>
          <w:rFonts w:ascii="Calibri" w:cs="Calibri" w:eastAsia="Calibri" w:hAnsi="Calibri"/>
          <w:b w:val="false"/>
          <w:bCs w:val="false"/>
          <w:i w:val="false"/>
          <w:iCs w:val="false"/>
          <w:color w:val="131A21"/>
          <w:sz w:val="21"/>
          <w:szCs w:val="21"/>
        </w:rPr>
        <w:t xml:space="preserve">Seven backtests were run against real Alpaca price data and a real historical headline corpus, with slippage modelled and FIFO lot accounting. Every run longer than a single quarter underperformed buy-and-hold, by $39 to $225 on a 20-share basis. The out-of-sample run — executed once, with no code, prompt or parameter changes made after seeing the in-sample result — lost $63 in a market that was essentially flat.</w:t>
      </w:r>
    </w:p>
    <w:p>
      <w:pPr>
        <w:pStyle w:val="Heading3"/>
        <w:spacing w:after="60" w:before="240"/>
      </w:pPr>
      <w:r>
        <w:rPr>
          <w:rFonts w:ascii="Calibri" w:cs="Calibri" w:eastAsia="Calibri" w:hAnsi="Calibri"/>
          <w:b/>
          <w:bCs/>
          <w:color w:val="24446E"/>
          <w:sz w:val="20"/>
          <w:szCs w:val="20"/>
        </w:rPr>
        <w:t xml:space="preserve">The most instructive part</w:t>
      </w:r>
    </w:p>
    <w:p>
      <w:pPr>
        <w:spacing w:after="140" w:before="0" w:line="300"/>
      </w:pPr>
      <w:r>
        <w:rPr>
          <w:rFonts w:ascii="Calibri" w:cs="Calibri" w:eastAsia="Calibri" w:hAnsi="Calibri"/>
          <w:b w:val="false"/>
          <w:bCs w:val="false"/>
          <w:i w:val="false"/>
          <w:iCs w:val="false"/>
          <w:color w:val="131A21"/>
          <w:sz w:val="21"/>
          <w:szCs w:val="21"/>
        </w:rPr>
        <w:t xml:space="preserve">Phase 04 attempted to replace an API-backed sentiment node with a locally fine-tuned model. Five attempts across two entirely different framings all returned negative results, and the sequence in which they failed is the useful part: two adapters that scored at or below a trivial baseline nobody had computed; an ablation showing the component they imitated was making the system worse; a rewrite that fixed the modelling problem and traded worse still; and finally a reframe onto real forward returns, on 41,701 examples with leak-free splits, which found no signal either.</w:t>
      </w:r>
    </w:p>
    <w:p>
      <w:pPr>
        <w:spacing w:after="140" w:before="0" w:line="300"/>
      </w:pPr>
      <w:r>
        <w:rPr>
          <w:rFonts w:ascii="Calibri" w:cs="Calibri" w:eastAsia="Calibri" w:hAnsi="Calibri"/>
          <w:b w:val="false"/>
          <w:bCs w:val="false"/>
          <w:i w:val="false"/>
          <w:iCs w:val="false"/>
          <w:color w:val="131A21"/>
          <w:sz w:val="21"/>
          <w:szCs w:val="21"/>
        </w:rPr>
        <w:t xml:space="preserve">The project also surfaced a series of defects that each hid or distorted a conclusion — a transaction bug that invalidated early backtests, six database tests silently skipping for two entire phases, a buy-and-hold baseline taken from the wrong window, and a statistical threshold set below the resolving power of the split chosen to test it. Each is documented in section 13 with what it hid.</w:t>
      </w:r>
    </w:p>
    <w:tbl>
      <w:tblPr>
        <w:tblW w:type="dxa" w:w="9026"/>
        <w:tblBorders>
          <w:top w:val="none" w:color="auto" w:sz="0"/>
          <w:left w:val="single" w:color="24446E" w:sz="18"/>
          <w:bottom w:val="none" w:color="auto" w:sz="0"/>
          <w:right w:val="none" w:color="auto" w:sz="0"/>
          <w:insideH w:val="none" w:color="auto" w:sz="0"/>
          <w:insideV w:val="none" w:color="auto" w:sz="0"/>
        </w:tblBorders>
      </w:tblPr>
      <w:tblGrid>
        <w:gridCol w:w="9026"/>
      </w:tblGrid>
      <w:tr>
        <w:tc>
          <w:tcPr>
            <w:tcW w:type="dxa" w:w="9026"/>
            <w:shd w:fill="F2F4F7" w:color="auto" w:val="clear"/>
            <w:tcMar>
              <w:top w:type="dxa" w:w="170"/>
              <w:left w:type="dxa" w:w="210"/>
              <w:bottom w:type="dxa" w:w="170"/>
              <w:right w:type="dxa" w:w="210"/>
            </w:tcMar>
          </w:tcPr>
          <w:p>
            <w:pPr>
              <w:spacing w:after="100" w:before="0" w:line="300"/>
            </w:pPr>
            <w:r>
              <w:rPr>
                <w:rFonts w:ascii="Calibri" w:cs="Calibri" w:eastAsia="Calibri" w:hAnsi="Calibri"/>
                <w:b/>
                <w:bCs/>
                <w:i w:val="false"/>
                <w:iCs w:val="false"/>
                <w:color w:val="131A21"/>
                <w:sz w:val="21"/>
                <w:szCs w:val="21"/>
              </w:rPr>
              <w:t xml:space="preserve">Reading this document</w:t>
            </w:r>
          </w:p>
          <w:p>
            <w:pPr>
              <w:spacing w:after="0" w:before="0" w:line="300"/>
            </w:pPr>
            <w:r>
              <w:rPr>
                <w:rFonts w:ascii="Calibri" w:cs="Calibri" w:eastAsia="Calibri" w:hAnsi="Calibri"/>
                <w:b w:val="false"/>
                <w:bCs w:val="false"/>
                <w:i w:val="false"/>
                <w:iCs w:val="false"/>
                <w:color w:val="131A21"/>
                <w:sz w:val="21"/>
                <w:szCs w:val="21"/>
              </w:rPr>
              <w:t xml:space="preserve">Sections 3 to 6 cover architecture and implementation. Sections 7 and 8 cover backtesting methodology and results. Section 9 covers the fine-tuning work in full. Sections 10 to 12 cover the replay tooling, the build pipeline and the deployment. Sections 13 to 17 cover defects, practices, limitations and open questions.</w:t>
            </w:r>
          </w:p>
        </w:tc>
      </w:tr>
    </w:tbl>
    <w:p>
      <w:pPr>
        <w:pStyle w:val="Heading1"/>
        <w:pBdr>
          <w:bottom w:val="single" w:color="131A21" w:sz="8" w:space="6"/>
        </w:pBdr>
        <w:spacing w:after="90" w:before="460"/>
      </w:pPr>
      <w:r>
        <w:rPr>
          <w:rFonts w:ascii="Georgia" w:cs="Georgia" w:eastAsia="Georgia" w:hAnsi="Georgia"/>
          <w:b/>
          <w:bCs/>
          <w:color w:val="131A21"/>
          <w:sz w:val="30"/>
          <w:szCs w:val="30"/>
        </w:rPr>
        <w:t xml:space="preserve">2  Objective and scope</w:t>
      </w:r>
    </w:p>
    <w:p>
      <w:pPr>
        <w:pStyle w:val="Heading2"/>
        <w:spacing w:after="70" w:before="300"/>
      </w:pPr>
      <w:r>
        <w:rPr>
          <w:rFonts w:ascii="Georgia" w:cs="Georgia" w:eastAsia="Georgia" w:hAnsi="Georgia"/>
          <w:b/>
          <w:bCs/>
          <w:color w:val="131A21"/>
          <w:sz w:val="23"/>
          <w:szCs w:val="23"/>
        </w:rPr>
        <w:t xml:space="preserve">2.1  The six gaps</w:t>
      </w:r>
    </w:p>
    <w:p>
      <w:pPr>
        <w:spacing w:after="140" w:before="0" w:line="300"/>
      </w:pPr>
      <w:r>
        <w:rPr>
          <w:rFonts w:ascii="Calibri" w:cs="Calibri" w:eastAsia="Calibri" w:hAnsi="Calibri"/>
          <w:b w:val="false"/>
          <w:bCs w:val="false"/>
          <w:i w:val="false"/>
          <w:iCs w:val="false"/>
          <w:color w:val="131A21"/>
          <w:sz w:val="21"/>
          <w:szCs w:val="21"/>
        </w:rPr>
        <w:t xml:space="preserve">The project existed to produce demonstrable competence in six areas. Building one system rather than six tutorials was deliberate: it forces the parts to interoperate, and it produces decisions that only arise when components have to live together.</w:t>
      </w: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700"/>
        <w:gridCol w:w="3400"/>
        <w:gridCol w:w="4926"/>
      </w:tblGrid>
      <w:tr>
        <w:trPr>
          <w:tblHeader/>
        </w:trPr>
        <w:tc>
          <w:tcPr>
            <w:tcW w:type="dxa" w:w="7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left"/>
            </w:pPr>
            <w:r>
              <w:rPr>
                <w:rFonts w:ascii="Calibri" w:cs="Calibri" w:eastAsia="Calibri" w:hAnsi="Calibri"/>
                <w:b/>
                <w:bCs/>
                <w:color w:val="6B7784"/>
                <w:sz w:val="16"/>
                <w:szCs w:val="16"/>
              </w:rPr>
              <w:t xml:space="preserve">#</w:t>
            </w:r>
          </w:p>
        </w:tc>
        <w:tc>
          <w:tcPr>
            <w:tcW w:type="dxa" w:w="34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Gap</w:t>
            </w:r>
          </w:p>
        </w:tc>
        <w:tc>
          <w:tcPr>
            <w:tcW w:type="dxa" w:w="4926"/>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How it was closed</w:t>
            </w:r>
          </w:p>
        </w:tc>
      </w:tr>
      <w:tr>
        <w:tc>
          <w:tcPr>
            <w:tcW w:type="dxa" w:w="7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1</w:t>
            </w:r>
          </w:p>
        </w:tc>
        <w:tc>
          <w:tcPr>
            <w:tcW w:type="dxa" w:w="34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Backend API</w:t>
            </w:r>
          </w:p>
        </w:tc>
        <w:tc>
          <w:tcPr>
            <w:tcW w:type="dxa" w:w="49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FastAPI service exposing positions, decisions and a manual run trigger</w:t>
            </w:r>
          </w:p>
        </w:tc>
      </w:tr>
      <w:tr>
        <w:tc>
          <w:tcPr>
            <w:tcW w:type="dxa" w:w="7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2</w:t>
            </w:r>
          </w:p>
        </w:tc>
        <w:tc>
          <w:tcPr>
            <w:tcW w:type="dxa" w:w="34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Relational database</w:t>
            </w:r>
          </w:p>
        </w:tc>
        <w:tc>
          <w:tcPr>
            <w:tcW w:type="dxa" w:w="49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PostgreSQL with hand-written SQL and a purpose-built migration runner</w:t>
            </w:r>
          </w:p>
        </w:tc>
      </w:tr>
      <w:tr>
        <w:tc>
          <w:tcPr>
            <w:tcW w:type="dxa" w:w="7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3</w:t>
            </w:r>
          </w:p>
        </w:tc>
        <w:tc>
          <w:tcPr>
            <w:tcW w:type="dxa" w:w="34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Agentic orchestration</w:t>
            </w:r>
          </w:p>
        </w:tc>
        <w:tc>
          <w:tcPr>
            <w:tcW w:type="dxa" w:w="49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LangGraph four-node graph with parallel fan-out and a gating node</w:t>
            </w:r>
          </w:p>
        </w:tc>
      </w:tr>
      <w:tr>
        <w:tc>
          <w:tcPr>
            <w:tcW w:type="dxa" w:w="7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4</w:t>
            </w:r>
          </w:p>
        </w:tc>
        <w:tc>
          <w:tcPr>
            <w:tcW w:type="dxa" w:w="34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LLM fine-tuning</w:t>
            </w:r>
          </w:p>
        </w:tc>
        <w:tc>
          <w:tcPr>
            <w:tcW w:type="dxa" w:w="49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QLoRA: classification, distillation, and regression on a bespoke dataset</w:t>
            </w:r>
          </w:p>
        </w:tc>
      </w:tr>
      <w:tr>
        <w:tc>
          <w:tcPr>
            <w:tcW w:type="dxa" w:w="7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5</w:t>
            </w:r>
          </w:p>
        </w:tc>
        <w:tc>
          <w:tcPr>
            <w:tcW w:type="dxa" w:w="34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Containerisation and CI</w:t>
            </w:r>
          </w:p>
        </w:tc>
        <w:tc>
          <w:tcPr>
            <w:tcW w:type="dxa" w:w="49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Docker image, compose stack, GitHub Actions against a live database</w:t>
            </w:r>
          </w:p>
        </w:tc>
      </w:tr>
      <w:tr>
        <w:tc>
          <w:tcPr>
            <w:tcW w:type="dxa" w:w="7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6</w:t>
            </w:r>
          </w:p>
        </w:tc>
        <w:tc>
          <w:tcPr>
            <w:tcW w:type="dxa" w:w="34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Cloud deployment</w:t>
            </w:r>
          </w:p>
        </w:tc>
        <w:tc>
          <w:tcPr>
            <w:tcW w:type="dxa" w:w="49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Terraform on AWS, applied and verified with a live run</w:t>
            </w:r>
          </w:p>
        </w:tc>
      </w:tr>
    </w:tbl>
    <w:p>
      <w:pPr>
        <w:spacing w:after="210" w:before="85" w:line="250"/>
      </w:pPr>
      <w:r>
        <w:rPr>
          <w:rFonts w:ascii="Calibri" w:cs="Calibri" w:eastAsia="Calibri" w:hAnsi="Calibri"/>
          <w:i/>
          <w:iCs/>
          <w:color w:val="6B7784"/>
          <w:sz w:val="17"/>
          <w:szCs w:val="17"/>
        </w:rPr>
        <w:t xml:space="preserve">Gap 4 closed on engineering competence rather than a working model. That distinction is maintained throughout this report.</w:t>
      </w:r>
    </w:p>
    <w:p>
      <w:pPr>
        <w:pStyle w:val="Heading2"/>
        <w:spacing w:after="70" w:before="300"/>
      </w:pPr>
      <w:r>
        <w:rPr>
          <w:rFonts w:ascii="Georgia" w:cs="Georgia" w:eastAsia="Georgia" w:hAnsi="Georgia"/>
          <w:b/>
          <w:bCs/>
          <w:color w:val="131A21"/>
          <w:sz w:val="23"/>
          <w:szCs w:val="23"/>
        </w:rPr>
        <w:t xml:space="preserve">2.2  Standing constraints</w:t>
      </w:r>
    </w:p>
    <w:p>
      <w:pPr>
        <w:pStyle w:val="ListParagraph"/>
        <w:numPr>
          <w:ilvl w:val="0"/>
          <w:numId w:val="2"/>
        </w:numPr>
        <w:spacing w:after="80" w:line="300"/>
      </w:pPr>
      <w:r>
        <w:rPr>
          <w:rFonts w:ascii="Calibri" w:cs="Calibri" w:eastAsia="Calibri" w:hAnsi="Calibri"/>
          <w:color w:val="131A21"/>
          <w:sz w:val="21"/>
          <w:szCs w:val="21"/>
        </w:rPr>
        <w:t xml:space="preserve">Paper trading only. The system never touched real capital or a live brokerage account at any point.</w:t>
      </w:r>
    </w:p>
    <w:p>
      <w:pPr>
        <w:pStyle w:val="ListParagraph"/>
        <w:numPr>
          <w:ilvl w:val="0"/>
          <w:numId w:val="2"/>
        </w:numPr>
        <w:spacing w:after="80" w:line="300"/>
      </w:pPr>
      <w:r>
        <w:rPr>
          <w:rFonts w:ascii="Calibri" w:cs="Calibri" w:eastAsia="Calibri" w:hAnsi="Calibri"/>
          <w:color w:val="131A21"/>
          <w:sz w:val="21"/>
          <w:szCs w:val="21"/>
        </w:rPr>
        <w:t xml:space="preserve">Honest backtesting. Realistic slippage, no look-ahead, out-of-sample discipline enforced rather than claimed.</w:t>
      </w:r>
    </w:p>
    <w:p>
      <w:pPr>
        <w:pStyle w:val="ListParagraph"/>
        <w:numPr>
          <w:ilvl w:val="0"/>
          <w:numId w:val="2"/>
        </w:numPr>
        <w:spacing w:after="80" w:line="300"/>
      </w:pPr>
      <w:r>
        <w:rPr>
          <w:rFonts w:ascii="Calibri" w:cs="Calibri" w:eastAsia="Calibri" w:hAnsi="Calibri"/>
          <w:color w:val="131A21"/>
          <w:sz w:val="21"/>
          <w:szCs w:val="21"/>
        </w:rPr>
        <w:t xml:space="preserve">No unearned optimism. Negative results are reported as findings, and every accuracy figure is compared against a trivial baseline before being believed.</w:t>
      </w:r>
    </w:p>
    <w:p>
      <w:pPr>
        <w:pStyle w:val="ListParagraph"/>
        <w:numPr>
          <w:ilvl w:val="0"/>
          <w:numId w:val="2"/>
        </w:numPr>
        <w:spacing w:after="80" w:line="300"/>
      </w:pPr>
      <w:r>
        <w:rPr>
          <w:rFonts w:ascii="Calibri" w:cs="Calibri" w:eastAsia="Calibri" w:hAnsi="Calibri"/>
          <w:color w:val="131A21"/>
          <w:sz w:val="21"/>
          <w:szCs w:val="21"/>
        </w:rPr>
        <w:t xml:space="preserve">Cost discipline. The entire project ran on a five-dollar OpenAI budget and a few cents of AWS.</w:t>
      </w:r>
    </w:p>
    <w:p>
      <w:pPr>
        <w:spacing w:after="140" w:before="0" w:line="300"/>
      </w:pPr>
      <w:r>
        <w:rPr>
          <w:rFonts w:ascii="Calibri" w:cs="Calibri" w:eastAsia="Calibri" w:hAnsi="Calibri"/>
          <w:b w:val="false"/>
          <w:bCs w:val="false"/>
          <w:i w:val="false"/>
          <w:iCs w:val="false"/>
          <w:color w:val="131A21"/>
          <w:sz w:val="21"/>
          <w:szCs w:val="21"/>
        </w:rPr>
        <w:t xml:space="preserve">The third constraint did most of the work. Two separate results in this project looked like successes and were at or below a do-nothing baseline; both would have been reported as achievements by a less suspicious process.</w:t>
      </w:r>
    </w:p>
    <w:p>
      <w:pPr>
        <w:pStyle w:val="Heading1"/>
        <w:pBdr>
          <w:bottom w:val="single" w:color="131A21" w:sz="8" w:space="6"/>
        </w:pBdr>
        <w:spacing w:after="90" w:before="460"/>
      </w:pPr>
      <w:r>
        <w:rPr>
          <w:rFonts w:ascii="Georgia" w:cs="Georgia" w:eastAsia="Georgia" w:hAnsi="Georgia"/>
          <w:b/>
          <w:bCs/>
          <w:color w:val="131A21"/>
          <w:sz w:val="30"/>
          <w:szCs w:val="30"/>
        </w:rPr>
        <w:t xml:space="preserve">3  System architecture</w:t>
      </w:r>
    </w:p>
    <w:p>
      <w:pPr>
        <w:pStyle w:val="Heading2"/>
        <w:spacing w:after="70" w:before="300"/>
      </w:pPr>
      <w:r>
        <w:rPr>
          <w:rFonts w:ascii="Georgia" w:cs="Georgia" w:eastAsia="Georgia" w:hAnsi="Georgia"/>
          <w:b/>
          <w:bCs/>
          <w:color w:val="131A21"/>
          <w:sz w:val="23"/>
          <w:szCs w:val="23"/>
        </w:rPr>
        <w:t xml:space="preserve">3.1  The agent graph</w:t>
      </w:r>
    </w:p>
    <w:p>
      <w:pPr>
        <w:spacing w:after="140" w:before="0" w:line="300"/>
      </w:pPr>
      <w:r>
        <w:rPr>
          <w:rFonts w:ascii="Calibri" w:cs="Calibri" w:eastAsia="Calibri" w:hAnsi="Calibri"/>
          <w:b w:val="false"/>
          <w:bCs w:val="false"/>
          <w:i w:val="false"/>
          <w:iCs w:val="false"/>
          <w:color w:val="131A21"/>
          <w:sz w:val="21"/>
          <w:szCs w:val="21"/>
        </w:rPr>
        <w:t xml:space="preserve">Phase 03 is a multi-agent graph rather than a linear pipeline. Two analysts form independent opinions in parallel; a portfolio manager arbitrates; a risk manager gates. The split is not decorative — each node exists because it answers a question the others cannot.</w:t>
      </w: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2200"/>
        <w:gridCol w:w="1500"/>
        <w:gridCol w:w="5326"/>
      </w:tblGrid>
      <w:tr>
        <w:trPr>
          <w:tblHeader/>
        </w:trPr>
        <w:tc>
          <w:tcPr>
            <w:tcW w:type="dxa" w:w="22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left"/>
            </w:pPr>
            <w:r>
              <w:rPr>
                <w:rFonts w:ascii="Calibri" w:cs="Calibri" w:eastAsia="Calibri" w:hAnsi="Calibri"/>
                <w:b/>
                <w:bCs/>
                <w:color w:val="6B7784"/>
                <w:sz w:val="16"/>
                <w:szCs w:val="16"/>
              </w:rPr>
              <w:t xml:space="preserve">Node</w:t>
            </w:r>
          </w:p>
        </w:tc>
        <w:tc>
          <w:tcPr>
            <w:tcW w:type="dxa" w:w="15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Backing</w:t>
            </w:r>
          </w:p>
        </w:tc>
        <w:tc>
          <w:tcPr>
            <w:tcW w:type="dxa" w:w="5326"/>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Responsibility and rationale</w:t>
            </w:r>
          </w:p>
        </w:tc>
      </w:tr>
      <w:tr>
        <w:tc>
          <w:tcPr>
            <w:tcW w:type="dxa" w:w="22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Technical Analyst</w:t>
            </w:r>
          </w:p>
        </w:tc>
        <w:tc>
          <w:tcPr>
            <w:tcW w:type="dxa" w:w="15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Rule-based</w:t>
            </w:r>
          </w:p>
        </w:tc>
        <w:tc>
          <w:tcPr>
            <w:tcW w:type="dxa" w:w="53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RSI-14 and SMA-20 over ~40 daily bars, then a short explainable if/elif chain. Indicators are arithmetic; paying a language model to reason about arithmetic buys nothing.</w:t>
            </w:r>
          </w:p>
        </w:tc>
      </w:tr>
      <w:tr>
        <w:tc>
          <w:tcPr>
            <w:tcW w:type="dxa" w:w="22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Sentiment Analyst</w:t>
            </w:r>
          </w:p>
        </w:tc>
        <w:tc>
          <w:tcPr>
            <w:tcW w:type="dxa" w:w="15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GPT-4o-mini</w:t>
            </w:r>
          </w:p>
        </w:tc>
        <w:tc>
          <w:tcPr>
            <w:tcW w:type="dxa" w:w="53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Reads up to three days of headlines and judges tone. Genuine language understanding, and the cheapest model that can do it. Returns immediately without an API call when there are no headlines.</w:t>
            </w:r>
          </w:p>
        </w:tc>
      </w:tr>
      <w:tr>
        <w:tc>
          <w:tcPr>
            <w:tcW w:type="dxa" w:w="22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Portfolio Manager</w:t>
            </w:r>
          </w:p>
        </w:tc>
        <w:tc>
          <w:tcPr>
            <w:tcW w:type="dxa" w:w="15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GPT-4o</w:t>
            </w:r>
          </w:p>
        </w:tc>
        <w:tc>
          <w:tcPr>
            <w:tcW w:type="dxa" w:w="53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Weighs both opinions, their reasoning and their confidence, into one proposal. The only node where judgment under conflicting evidence actually happens, so it gets the frontier model.</w:t>
            </w:r>
          </w:p>
        </w:tc>
      </w:tr>
      <w:tr>
        <w:tc>
          <w:tcPr>
            <w:tcW w:type="dxa" w:w="22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Risk Manager</w:t>
            </w:r>
          </w:p>
        </w:tc>
        <w:tc>
          <w:tcPr>
            <w:tcW w:type="dxa" w:w="15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Rule-based</w:t>
            </w:r>
          </w:p>
        </w:tc>
        <w:tc>
          <w:tcPr>
            <w:tcW w:type="dxa" w:w="53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Enforces a hard position cap and forbids selling what is not held. Holds final authority: it sets the action that is actually traded, not the Portfolio Manager.</w:t>
            </w:r>
          </w:p>
        </w:tc>
      </w:tr>
    </w:tbl>
    <w:p>
      <w:pPr>
        <w:spacing w:after="140" w:before="0" w:line="300"/>
      </w:pPr>
      <w:r>
        <w:rPr>
          <w:rFonts w:ascii="Calibri" w:cs="Calibri" w:eastAsia="Calibri" w:hAnsi="Calibri"/>
          <w:b w:val="false"/>
          <w:bCs w:val="false"/>
          <w:i w:val="false"/>
          <w:iCs w:val="false"/>
          <w:color w:val="131A21"/>
          <w:sz w:val="21"/>
          <w:szCs w:val="21"/>
        </w:rPr>
        <w:t xml:space="preserve">The propose-versus-gate split between the last two nodes turned out to be the single most valuable structural decision in the project. Because the Risk Manager is code and every input it consumed is stored, alternative risk rules could later be tested for free — see section 10.</w:t>
      </w:r>
    </w:p>
    <w:p>
      <w:pPr>
        <w:pStyle w:val="Heading2"/>
        <w:spacing w:after="70" w:before="300"/>
      </w:pPr>
      <w:r>
        <w:rPr>
          <w:rFonts w:ascii="Georgia" w:cs="Georgia" w:eastAsia="Georgia" w:hAnsi="Georgia"/>
          <w:b/>
          <w:bCs/>
          <w:color w:val="131A21"/>
          <w:sz w:val="23"/>
          <w:szCs w:val="23"/>
        </w:rPr>
        <w:t xml:space="preserve">3.2  Data sources and the injection seam</w:t>
      </w:r>
    </w:p>
    <w:p>
      <w:pPr>
        <w:spacing w:after="140" w:before="0" w:line="300"/>
      </w:pPr>
      <w:r>
        <w:rPr>
          <w:rFonts w:ascii="Calibri" w:cs="Calibri" w:eastAsia="Calibri" w:hAnsi="Calibri"/>
          <w:b w:val="false"/>
          <w:bCs w:val="false"/>
          <w:i w:val="false"/>
          <w:iCs w:val="false"/>
          <w:color w:val="131A21"/>
          <w:sz w:val="21"/>
          <w:szCs w:val="21"/>
        </w:rPr>
        <w:t xml:space="preserve">Every node factory takes its dependencies as arguments rather than constructing them: a price source, a headline source, a repository, and an optional language model. The sources are Protocols, not concrete classes.</w:t>
      </w:r>
    </w:p>
    <w:p>
      <w:pPr>
        <w:spacing w:after="140" w:before="0" w:line="300"/>
      </w:pPr>
      <w:r>
        <w:rPr>
          <w:rFonts w:ascii="Calibri" w:cs="Calibri" w:eastAsia="Calibri" w:hAnsi="Calibri"/>
          <w:b w:val="false"/>
          <w:bCs w:val="false"/>
          <w:i w:val="false"/>
          <w:iCs w:val="false"/>
          <w:color w:val="131A21"/>
          <w:sz w:val="21"/>
          <w:szCs w:val="21"/>
        </w:rPr>
        <w:t xml:space="preserve">This is what makes the backtest possible at all. A backtest swaps the live headline source for one reading a local historical table, and the nodes cannot tell the difference — the signature and return shape are identical by design. The same seam lets the entire test suite run with no network access, no API keys and no database.</w:t>
      </w:r>
    </w:p>
    <w:p>
      <w:pPr>
        <w:pStyle w:val="Heading2"/>
        <w:spacing w:after="70" w:before="300"/>
      </w:pPr>
      <w:r>
        <w:rPr>
          <w:rFonts w:ascii="Georgia" w:cs="Georgia" w:eastAsia="Georgia" w:hAnsi="Georgia"/>
          <w:b/>
          <w:bCs/>
          <w:color w:val="131A21"/>
          <w:sz w:val="23"/>
          <w:szCs w:val="23"/>
        </w:rPr>
        <w:t xml:space="preserve">3.3  Schema</w:t>
      </w:r>
    </w:p>
    <w:p>
      <w:pPr>
        <w:spacing w:after="140" w:before="0" w:line="300"/>
      </w:pPr>
      <w:r>
        <w:rPr>
          <w:rFonts w:ascii="Calibri" w:cs="Calibri" w:eastAsia="Calibri" w:hAnsi="Calibri"/>
          <w:b w:val="false"/>
          <w:bCs w:val="false"/>
          <w:i w:val="false"/>
          <w:iCs w:val="false"/>
          <w:color w:val="131A21"/>
          <w:sz w:val="21"/>
          <w:szCs w:val="21"/>
        </w:rPr>
        <w:t xml:space="preserve">Ten tables. The shape follows from one Phase 03 decision: once several agents each hold an opinion, a decisions log cannot be one row per cycle.</w:t>
      </w: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2600"/>
        <w:gridCol w:w="6426"/>
      </w:tblGrid>
      <w:tr>
        <w:trPr>
          <w:tblHeader/>
        </w:trPr>
        <w:tc>
          <w:tcPr>
            <w:tcW w:type="dxa" w:w="26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left"/>
            </w:pPr>
            <w:r>
              <w:rPr>
                <w:rFonts w:ascii="Calibri" w:cs="Calibri" w:eastAsia="Calibri" w:hAnsi="Calibri"/>
                <w:b/>
                <w:bCs/>
                <w:color w:val="6B7784"/>
                <w:sz w:val="16"/>
                <w:szCs w:val="16"/>
              </w:rPr>
              <w:t xml:space="preserve">Table</w:t>
            </w:r>
          </w:p>
        </w:tc>
        <w:tc>
          <w:tcPr>
            <w:tcW w:type="dxa" w:w="6426"/>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Purpose</w:t>
            </w:r>
          </w:p>
        </w:tc>
      </w:tr>
      <w:tr>
        <w:tc>
          <w:tcPr>
            <w:tcW w:type="dxa" w:w="26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watchlist</w:t>
            </w:r>
          </w:p>
        </w:tc>
        <w:tc>
          <w:tcPr>
            <w:tcW w:type="dxa" w:w="64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Symbols under management. Referenced by foreign key from decisions and outcomes.</w:t>
            </w:r>
          </w:p>
        </w:tc>
      </w:tr>
      <w:tr>
        <w:tc>
          <w:tcPr>
            <w:tcW w:type="dxa" w:w="26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runs</w:t>
            </w:r>
          </w:p>
        </w:tc>
        <w:tc>
          <w:tcPr>
            <w:tcW w:type="dxa" w:w="64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One row per decision cycle, live or backtest.</w:t>
            </w:r>
          </w:p>
        </w:tc>
      </w:tr>
      <w:tr>
        <w:tc>
          <w:tcPr>
            <w:tcW w:type="dxa" w:w="26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decisions</w:t>
            </w:r>
          </w:p>
        </w:tc>
        <w:tc>
          <w:tcPr>
            <w:tcW w:type="dxa" w:w="64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The final action per symbol per run, with the technical and sentiment snapshots that produced it.</w:t>
            </w:r>
          </w:p>
        </w:tc>
      </w:tr>
      <w:tr>
        <w:tc>
          <w:tcPr>
            <w:tcW w:type="dxa" w:w="26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agent_opinions</w:t>
            </w:r>
          </w:p>
        </w:tc>
        <w:tc>
          <w:tcPr>
            <w:tcW w:type="dxa" w:w="64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One row per agent per decision. This is what makes "why did it decide that" answerable after the fact, and it is what the replay tooling in section 10 reads.</w:t>
            </w:r>
          </w:p>
        </w:tc>
      </w:tr>
      <w:tr>
        <w:tc>
          <w:tcPr>
            <w:tcW w:type="dxa" w:w="26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outcomes</w:t>
            </w:r>
          </w:p>
        </w:tc>
        <w:tc>
          <w:tcPr>
            <w:tcW w:type="dxa" w:w="64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Live paper-trade lots, FIFO.</w:t>
            </w:r>
          </w:p>
        </w:tc>
      </w:tr>
      <w:tr>
        <w:tc>
          <w:tcPr>
            <w:tcW w:type="dxa" w:w="26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price_snapshots</w:t>
            </w:r>
          </w:p>
        </w:tc>
        <w:tc>
          <w:tcPr>
            <w:tcW w:type="dxa" w:w="64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Prices observed during live runs.</w:t>
            </w:r>
          </w:p>
        </w:tc>
      </w:tr>
      <w:tr>
        <w:tc>
          <w:tcPr>
            <w:tcW w:type="dxa" w:w="26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backtests</w:t>
            </w:r>
          </w:p>
        </w:tc>
        <w:tc>
          <w:tcPr>
            <w:tcW w:type="dxa" w:w="64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One row per backtest, with its window and status.</w:t>
            </w:r>
          </w:p>
        </w:tc>
      </w:tr>
      <w:tr>
        <w:tc>
          <w:tcPr>
            <w:tcW w:type="dxa" w:w="26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backtest_outcomes</w:t>
            </w:r>
          </w:p>
        </w:tc>
        <w:tc>
          <w:tcPr>
            <w:tcW w:type="dxa" w:w="64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Simulated lots, structurally isolated from the live tables.</w:t>
            </w:r>
          </w:p>
        </w:tc>
      </w:tr>
      <w:tr>
        <w:tc>
          <w:tcPr>
            <w:tcW w:type="dxa" w:w="26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historical_headlines</w:t>
            </w:r>
          </w:p>
        </w:tc>
        <w:tc>
          <w:tcPr>
            <w:tcW w:type="dxa" w:w="64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The imported FNSPID corpus.</w:t>
            </w:r>
          </w:p>
        </w:tc>
      </w:tr>
      <w:tr>
        <w:tc>
          <w:tcPr>
            <w:tcW w:type="dxa" w:w="26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schema_migrations</w:t>
            </w:r>
          </w:p>
        </w:tc>
        <w:tc>
          <w:tcPr>
            <w:tcW w:type="dxa" w:w="64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Applied migrations, managed by the project’s own runner.</w:t>
            </w:r>
          </w:p>
        </w:tc>
      </w:tr>
    </w:tbl>
    <w:p>
      <w:pPr>
        <w:pStyle w:val="Heading2"/>
        <w:spacing w:after="70" w:before="300"/>
      </w:pPr>
      <w:r>
        <w:rPr>
          <w:rFonts w:ascii="Georgia" w:cs="Georgia" w:eastAsia="Georgia" w:hAnsi="Georgia"/>
          <w:b/>
          <w:bCs/>
          <w:color w:val="131A21"/>
          <w:sz w:val="23"/>
          <w:szCs w:val="23"/>
        </w:rPr>
        <w:t xml:space="preserve">3.4  No ORM, and a migration runner in eighty lines</w:t>
      </w:r>
    </w:p>
    <w:p>
      <w:pPr>
        <w:spacing w:after="140" w:before="0" w:line="300"/>
      </w:pPr>
      <w:r>
        <w:rPr>
          <w:rFonts w:ascii="Calibri" w:cs="Calibri" w:eastAsia="Calibri" w:hAnsi="Calibri"/>
          <w:b w:val="false"/>
          <w:bCs w:val="false"/>
          <w:i w:val="false"/>
          <w:iCs w:val="false"/>
          <w:color w:val="131A21"/>
          <w:sz w:val="21"/>
          <w:szCs w:val="21"/>
        </w:rPr>
        <w:t xml:space="preserve">Queries are hand-written SQL. Migrations are numbered .sql files applied in filename order by a script whose only jobs are to remember what it has already run and to wrap each file in a transaction. There is no Alembic, no autogeneration and no model diffing.</w:t>
      </w:r>
    </w:p>
    <w:p>
      <w:pPr>
        <w:spacing w:after="140" w:before="0" w:line="300"/>
      </w:pPr>
      <w:r>
        <w:rPr>
          <w:rFonts w:ascii="Calibri" w:cs="Calibri" w:eastAsia="Calibri" w:hAnsi="Calibri"/>
          <w:b w:val="false"/>
          <w:bCs w:val="false"/>
          <w:i w:val="false"/>
          <w:iCs w:val="false"/>
          <w:color w:val="131A21"/>
          <w:sz w:val="21"/>
          <w:szCs w:val="21"/>
        </w:rPr>
        <w:t xml:space="preserve">The reason is that the gap being closed was "real database work". An ORM would have hidden exactly the thing the exercise existed to practise. The cost of that choice is visible in the codebase and was accepted deliberately.</w:t>
      </w:r>
    </w:p>
    <w:p>
      <w:pPr>
        <w:pStyle w:val="Heading1"/>
        <w:pBdr>
          <w:bottom w:val="single" w:color="131A21" w:sz="8" w:space="6"/>
        </w:pBdr>
        <w:spacing w:after="90" w:before="460"/>
      </w:pPr>
      <w:r>
        <w:rPr>
          <w:rFonts w:ascii="Georgia" w:cs="Georgia" w:eastAsia="Georgia" w:hAnsi="Georgia"/>
          <w:b/>
          <w:bCs/>
          <w:color w:val="131A21"/>
          <w:sz w:val="30"/>
          <w:szCs w:val="30"/>
        </w:rPr>
        <w:t xml:space="preserve">4  Phase 01 — Control API</w:t>
      </w:r>
    </w:p>
    <w:p>
      <w:pPr>
        <w:spacing w:after="140" w:before="0" w:line="300"/>
      </w:pPr>
      <w:r>
        <w:rPr>
          <w:rFonts w:ascii="Calibri" w:cs="Calibri" w:eastAsia="Calibri" w:hAnsi="Calibri"/>
          <w:b w:val="false"/>
          <w:bCs w:val="false"/>
          <w:i w:val="false"/>
          <w:iCs w:val="false"/>
          <w:color w:val="131A21"/>
          <w:sz w:val="21"/>
          <w:szCs w:val="21"/>
        </w:rPr>
        <w:t xml:space="preserve">A FastAPI service exposing three read endpoints and one action: list positions, list decisions, trigger a run. The interesting decision here is the repository seam introduced immediately rather than later.</w:t>
      </w:r>
    </w:p>
    <w:p>
      <w:pPr>
        <w:spacing w:after="140" w:before="0" w:line="300"/>
      </w:pPr>
      <w:r>
        <w:rPr>
          <w:rFonts w:ascii="Calibri" w:cs="Calibri" w:eastAsia="Calibri" w:hAnsi="Calibri"/>
          <w:b w:val="false"/>
          <w:bCs w:val="false"/>
          <w:i w:val="false"/>
          <w:iCs w:val="false"/>
          <w:color w:val="131A21"/>
          <w:sz w:val="21"/>
          <w:szCs w:val="21"/>
        </w:rPr>
        <w:t xml:space="preserve">Routes depend on a Repository protocol, injected through FastAPI’s dependency system. Phase 01 shipped with an in-memory implementation; Phase 02 swapped in a PostgreSQL one and no route changed except to become async. The in-memory version still exists and still serves the test suite, which is why most tests need no database at all.</w:t>
      </w:r>
    </w:p>
    <w:p>
      <w:pPr>
        <w:pStyle w:val="Heading1"/>
        <w:pBdr>
          <w:bottom w:val="single" w:color="131A21" w:sz="8" w:space="6"/>
        </w:pBdr>
        <w:spacing w:after="90" w:before="460"/>
      </w:pPr>
      <w:r>
        <w:rPr>
          <w:rFonts w:ascii="Georgia" w:cs="Georgia" w:eastAsia="Georgia" w:hAnsi="Georgia"/>
          <w:b/>
          <w:bCs/>
          <w:color w:val="131A21"/>
          <w:sz w:val="30"/>
          <w:szCs w:val="30"/>
        </w:rPr>
        <w:t xml:space="preserve">5  Phase 02 — State and history</w:t>
      </w:r>
    </w:p>
    <w:p>
      <w:pPr>
        <w:spacing w:after="140" w:before="0" w:line="300"/>
      </w:pPr>
      <w:r>
        <w:rPr>
          <w:rFonts w:ascii="Calibri" w:cs="Calibri" w:eastAsia="Calibri" w:hAnsi="Calibri"/>
          <w:b w:val="false"/>
          <w:bCs w:val="false"/>
          <w:i w:val="false"/>
          <w:iCs w:val="false"/>
          <w:color w:val="131A21"/>
          <w:sz w:val="21"/>
          <w:szCs w:val="21"/>
        </w:rPr>
        <w:t xml:space="preserve">PostgreSQL behind the same protocol, with a connection pool opened during application startup rather than at import time. Opening a pool at import means importing the module attempts a network connection, which breaks test collection and is a habit worth not forming.</w:t>
      </w:r>
    </w:p>
    <w:p>
      <w:pPr>
        <w:spacing w:after="140" w:before="0" w:line="300"/>
      </w:pPr>
      <w:r>
        <w:rPr>
          <w:rFonts w:ascii="Calibri" w:cs="Calibri" w:eastAsia="Calibri" w:hAnsi="Calibri"/>
          <w:b w:val="false"/>
          <w:bCs w:val="false"/>
          <w:i w:val="false"/>
          <w:iCs w:val="false"/>
          <w:color w:val="131A21"/>
          <w:sz w:val="21"/>
          <w:szCs w:val="21"/>
        </w:rPr>
        <w:t xml:space="preserve">The pool is created by a factory rather than held as a module-level singleton. Each application lifespan needs its own pool object, because a closed pool cannot be reopened — and a test suite that constructs several test clients triggers exactly that.</w:t>
      </w:r>
    </w:p>
    <w:p>
      <w:pPr>
        <w:pStyle w:val="Heading1"/>
        <w:pBdr>
          <w:bottom w:val="single" w:color="131A21" w:sz="8" w:space="6"/>
        </w:pBdr>
        <w:spacing w:after="90" w:before="460"/>
      </w:pPr>
      <w:r>
        <w:rPr>
          <w:rFonts w:ascii="Georgia" w:cs="Georgia" w:eastAsia="Georgia" w:hAnsi="Georgia"/>
          <w:b/>
          <w:bCs/>
          <w:color w:val="131A21"/>
          <w:sz w:val="30"/>
          <w:szCs w:val="30"/>
        </w:rPr>
        <w:t xml:space="preserve">6  Phase 03 — Decision agent</w:t>
      </w:r>
    </w:p>
    <w:p>
      <w:pPr>
        <w:spacing w:after="140" w:before="0" w:line="300"/>
      </w:pPr>
      <w:r>
        <w:rPr>
          <w:rFonts w:ascii="Calibri" w:cs="Calibri" w:eastAsia="Calibri" w:hAnsi="Calibri"/>
          <w:b w:val="false"/>
          <w:bCs w:val="false"/>
          <w:i w:val="false"/>
          <w:iCs w:val="false"/>
          <w:color w:val="131A21"/>
          <w:sz w:val="21"/>
          <w:szCs w:val="21"/>
        </w:rPr>
        <w:t xml:space="preserve">The four-node graph described in section 3.1, compiled with LangGraph. The two analysts run in parallel and write to different state keys, so there is no write conflict to resolve; that is the simple case of fan-out, and reaching for LangGraph’s reducer machinery would have been premature.</w:t>
      </w:r>
    </w:p>
    <w:p>
      <w:pPr>
        <w:pStyle w:val="Heading3"/>
        <w:spacing w:after="60" w:before="240"/>
      </w:pPr>
      <w:r>
        <w:rPr>
          <w:rFonts w:ascii="Calibri" w:cs="Calibri" w:eastAsia="Calibri" w:hAnsi="Calibri"/>
          <w:b/>
          <w:bCs/>
          <w:color w:val="24446E"/>
          <w:sz w:val="20"/>
          <w:szCs w:val="20"/>
        </w:rPr>
        <w:t xml:space="preserve">Live verification</w:t>
      </w:r>
    </w:p>
    <w:p>
      <w:pPr>
        <w:spacing w:after="140" w:before="0" w:line="300"/>
      </w:pPr>
      <w:r>
        <w:rPr>
          <w:rFonts w:ascii="Calibri" w:cs="Calibri" w:eastAsia="Calibri" w:hAnsi="Calibri"/>
          <w:b w:val="false"/>
          <w:bCs w:val="false"/>
          <w:i w:val="false"/>
          <w:iCs w:val="false"/>
          <w:color w:val="131A21"/>
          <w:sz w:val="21"/>
          <w:szCs w:val="21"/>
        </w:rPr>
        <w:t xml:space="preserve">The phase was closed only after a full end-to-end run against production dependencies: real Alpaca market data, real Alpaca news, real OpenAI calls from both language-model nodes, and a real PostgreSQL write producing a correctly tracked paper position. Every layer was exercised at once, which is the only way to find the integration problems a mocked test cannot.</w:t>
      </w:r>
    </w:p>
    <w:p>
      <w:pPr>
        <w:pStyle w:val="Heading1"/>
        <w:pBdr>
          <w:bottom w:val="single" w:color="131A21" w:sz="8" w:space="6"/>
        </w:pBdr>
        <w:spacing w:after="90" w:before="460"/>
      </w:pPr>
      <w:r>
        <w:rPr>
          <w:rFonts w:ascii="Georgia" w:cs="Georgia" w:eastAsia="Georgia" w:hAnsi="Georgia"/>
          <w:b/>
          <w:bCs/>
          <w:color w:val="131A21"/>
          <w:sz w:val="30"/>
          <w:szCs w:val="30"/>
        </w:rPr>
        <w:t xml:space="preserve">7  Backtesting methodology</w:t>
      </w:r>
    </w:p>
    <w:p>
      <w:pPr>
        <w:spacing w:after="170"/>
      </w:pPr>
      <w:r>
        <w:rPr>
          <w:rFonts w:ascii="Consolas" w:cs="Consolas" w:eastAsia="Consolas" w:hAnsi="Consolas"/>
          <w:color w:val="6B7784"/>
          <w:spacing w:val="20"/>
          <w:sz w:val="15"/>
          <w:szCs w:val="15"/>
        </w:rPr>
        <w:t xml:space="preserve">THE GATE BETWEEN V1 AND V2</w:t>
      </w:r>
    </w:p>
    <w:p>
      <w:pPr>
        <w:spacing w:after="140" w:before="0" w:line="300"/>
      </w:pPr>
      <w:r>
        <w:rPr>
          <w:rFonts w:ascii="Calibri" w:cs="Calibri" w:eastAsia="Calibri" w:hAnsi="Calibri"/>
          <w:b w:val="false"/>
          <w:bCs w:val="false"/>
          <w:i w:val="false"/>
          <w:iCs w:val="false"/>
          <w:color w:val="131A21"/>
          <w:sz w:val="21"/>
          <w:szCs w:val="21"/>
        </w:rPr>
        <w:t xml:space="preserve">The project’s roadmap set a gate before any continuous-intraday extension: back-test the strategy honestly first, because running a non-edge continuously does not create one. Meeting that gate credibly required more care than the backtest itself.</w:t>
      </w:r>
    </w:p>
    <w:p>
      <w:pPr>
        <w:pStyle w:val="Heading2"/>
        <w:spacing w:after="70" w:before="300"/>
      </w:pPr>
      <w:r>
        <w:rPr>
          <w:rFonts w:ascii="Georgia" w:cs="Georgia" w:eastAsia="Georgia" w:hAnsi="Georgia"/>
          <w:b/>
          <w:bCs/>
          <w:color w:val="131A21"/>
          <w:sz w:val="23"/>
          <w:szCs w:val="23"/>
        </w:rPr>
        <w:t xml:space="preserve">7.1  Structural isolation from live state</w:t>
      </w:r>
    </w:p>
    <w:p>
      <w:pPr>
        <w:spacing w:after="140" w:before="0" w:line="300"/>
      </w:pPr>
      <w:r>
        <w:rPr>
          <w:rFonts w:ascii="Calibri" w:cs="Calibri" w:eastAsia="Calibri" w:hAnsi="Calibri"/>
          <w:b w:val="false"/>
          <w:bCs w:val="false"/>
          <w:i w:val="false"/>
          <w:iCs w:val="false"/>
          <w:color w:val="131A21"/>
          <w:sz w:val="21"/>
          <w:szCs w:val="21"/>
        </w:rPr>
        <w:t xml:space="preserve">Backtests write to `backtest_outcomes`, never to `outcomes`, and never to `price_snapshots`. A dedicated repository class is scoped to a single backtest identifier and physically cannot address the live tables.</w:t>
      </w:r>
    </w:p>
    <w:p>
      <w:pPr>
        <w:spacing w:after="140" w:before="0" w:line="300"/>
      </w:pPr>
      <w:r>
        <w:rPr>
          <w:rFonts w:ascii="Calibri" w:cs="Calibri" w:eastAsia="Calibri" w:hAnsi="Calibri"/>
          <w:b w:val="false"/>
          <w:bCs w:val="false"/>
          <w:i w:val="false"/>
          <w:iCs w:val="false"/>
          <w:color w:val="131A21"/>
          <w:sz w:val="21"/>
          <w:szCs w:val="21"/>
        </w:rPr>
        <w:t xml:space="preserve">The alternative — a mode flag on the existing repository — would have made "did this run pollute my real positions" a question answerable only by reading code carefully. Under the isolation design it is answerable by looking at which class was instantiated.</w:t>
      </w:r>
    </w:p>
    <w:p>
      <w:pPr>
        <w:pStyle w:val="Heading2"/>
        <w:spacing w:after="70" w:before="300"/>
      </w:pPr>
      <w:r>
        <w:rPr>
          <w:rFonts w:ascii="Georgia" w:cs="Georgia" w:eastAsia="Georgia" w:hAnsi="Georgia"/>
          <w:b/>
          <w:bCs/>
          <w:color w:val="131A21"/>
          <w:sz w:val="23"/>
          <w:szCs w:val="23"/>
        </w:rPr>
        <w:t xml:space="preserve">7.2  Execution model</w:t>
      </w: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3100"/>
        <w:gridCol w:w="5926"/>
      </w:tblGrid>
      <w:tr>
        <w:trPr>
          <w:tblHeader/>
        </w:trPr>
        <w:tc>
          <w:tcPr>
            <w:tcW w:type="dxa" w:w="31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left"/>
            </w:pPr>
            <w:r>
              <w:rPr>
                <w:rFonts w:ascii="Calibri" w:cs="Calibri" w:eastAsia="Calibri" w:hAnsi="Calibri"/>
                <w:b/>
                <w:bCs/>
                <w:color w:val="6B7784"/>
                <w:sz w:val="16"/>
                <w:szCs w:val="16"/>
              </w:rPr>
              <w:t xml:space="preserve">Assumption</w:t>
            </w:r>
          </w:p>
        </w:tc>
        <w:tc>
          <w:tcPr>
            <w:tcW w:type="dxa" w:w="5926"/>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Treatment</w:t>
            </w:r>
          </w:p>
        </w:tc>
      </w:tr>
      <w:tr>
        <w:tc>
          <w:tcPr>
            <w:tcW w:type="dxa" w:w="31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Slippage</w:t>
            </w:r>
          </w:p>
        </w:tc>
        <w:tc>
          <w:tcPr>
            <w:tcW w:type="dxa" w:w="59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5 basis points against the decision price, both directions. Buys fill higher, sells fill lower. A stated placeholder, not a researched constant.</w:t>
            </w:r>
          </w:p>
        </w:tc>
      </w:tr>
      <w:tr>
        <w:tc>
          <w:tcPr>
            <w:tcW w:type="dxa" w:w="31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Commission</w:t>
            </w:r>
          </w:p>
        </w:tc>
        <w:tc>
          <w:tcPr>
            <w:tcW w:type="dxa" w:w="59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Zero, modelled explicitly rather than silently omitted, because Alpaca charges none on stock trades.</w:t>
            </w:r>
          </w:p>
        </w:tc>
      </w:tr>
      <w:tr>
        <w:tc>
          <w:tcPr>
            <w:tcW w:type="dxa" w:w="31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Lot accounting</w:t>
            </w:r>
          </w:p>
        </w:tc>
        <w:tc>
          <w:tcPr>
            <w:tcW w:type="dxa" w:w="59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FIFO, oldest open lot first, with partial-lot splitting. Each buy opens its own lot with its own entry price.</w:t>
            </w:r>
          </w:p>
        </w:tc>
      </w:tr>
      <w:tr>
        <w:tc>
          <w:tcPr>
            <w:tcW w:type="dxa" w:w="31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Position limit</w:t>
            </w:r>
          </w:p>
        </w:tc>
        <w:tc>
          <w:tcPr>
            <w:tcW w:type="dxa" w:w="59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A hard 20-share cap per symbol, enforced by the Risk Manager, which scales or vetoes proposals that would breach it.</w:t>
            </w:r>
          </w:p>
        </w:tc>
      </w:tr>
      <w:tr>
        <w:tc>
          <w:tcPr>
            <w:tcW w:type="dxa" w:w="31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Trade size</w:t>
            </w:r>
          </w:p>
        </w:tc>
        <w:tc>
          <w:tcPr>
            <w:tcW w:type="dxa" w:w="59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A flat maximum lot of 10 shares. There is no capital-allocation model in V1, so position sizing was deliberately not attempted.</w:t>
            </w:r>
          </w:p>
        </w:tc>
      </w:tr>
    </w:tbl>
    <w:p>
      <w:pPr>
        <w:pStyle w:val="Heading2"/>
        <w:spacing w:after="70" w:before="300"/>
      </w:pPr>
      <w:r>
        <w:rPr>
          <w:rFonts w:ascii="Georgia" w:cs="Georgia" w:eastAsia="Georgia" w:hAnsi="Georgia"/>
          <w:b/>
          <w:bCs/>
          <w:color w:val="131A21"/>
          <w:sz w:val="23"/>
          <w:szCs w:val="23"/>
        </w:rPr>
        <w:t xml:space="preserve">7.3  Look-ahead guards</w:t>
      </w:r>
    </w:p>
    <w:p>
      <w:pPr>
        <w:spacing w:after="140" w:before="0" w:line="300"/>
      </w:pPr>
      <w:r>
        <w:rPr>
          <w:rFonts w:ascii="Calibri" w:cs="Calibri" w:eastAsia="Calibri" w:hAnsi="Calibri"/>
          <w:b w:val="false"/>
          <w:bCs w:val="false"/>
          <w:i w:val="false"/>
          <w:iCs w:val="false"/>
          <w:color w:val="131A21"/>
          <w:sz w:val="21"/>
          <w:szCs w:val="21"/>
        </w:rPr>
        <w:t xml:space="preserve">The historical headline source filters on `published_at &lt; as_of` — strictly less than, not less-or-equal. A headline published exactly at the decision moment was not necessarily readable at that moment, so the decision timestamp is treated as the earliest excluded instant rather than the latest included one.</w:t>
      </w:r>
    </w:p>
    <w:p>
      <w:pPr>
        <w:spacing w:after="140" w:before="0" w:line="300"/>
      </w:pPr>
      <w:r>
        <w:rPr>
          <w:rFonts w:ascii="Calibri" w:cs="Calibri" w:eastAsia="Calibri" w:hAnsi="Calibri"/>
          <w:b w:val="false"/>
          <w:bCs w:val="false"/>
          <w:i w:val="false"/>
          <w:iCs w:val="false"/>
          <w:color w:val="131A21"/>
          <w:sz w:val="21"/>
          <w:szCs w:val="21"/>
        </w:rPr>
        <w:t xml:space="preserve">The same discipline governs the return labels built in section 9.7: headlines strictly at or before the decision day’s close, returns measured strictly after it.</w:t>
      </w:r>
    </w:p>
    <w:p>
      <w:pPr>
        <w:pStyle w:val="Heading2"/>
        <w:spacing w:after="70" w:before="300"/>
      </w:pPr>
      <w:r>
        <w:rPr>
          <w:rFonts w:ascii="Georgia" w:cs="Georgia" w:eastAsia="Georgia" w:hAnsi="Georgia"/>
          <w:b/>
          <w:bCs/>
          <w:color w:val="131A21"/>
          <w:sz w:val="23"/>
          <w:szCs w:val="23"/>
        </w:rPr>
        <w:t xml:space="preserve">7.4  Mark-to-market, and why realized P&amp;L is misleading</w:t>
      </w:r>
    </w:p>
    <w:p>
      <w:pPr>
        <w:spacing w:after="140" w:before="0" w:line="300"/>
      </w:pPr>
      <w:r>
        <w:rPr>
          <w:rFonts w:ascii="Calibri" w:cs="Calibri" w:eastAsia="Calibri" w:hAnsi="Calibri"/>
          <w:b w:val="false"/>
          <w:bCs w:val="false"/>
          <w:i w:val="false"/>
          <w:iCs w:val="false"/>
          <w:color w:val="131A21"/>
          <w:sz w:val="21"/>
          <w:szCs w:val="21"/>
        </w:rPr>
        <w:t xml:space="preserve">Any run ending with open positions is marked at the window’s last observed price before being compared to anything. This is not a refinement; it changes conclusions.</w:t>
      </w:r>
    </w:p>
    <w:p>
      <w:pPr>
        <w:spacing w:after="140" w:before="0" w:line="300"/>
      </w:pPr>
      <w:r>
        <w:rPr>
          <w:rFonts w:ascii="Calibri" w:cs="Calibri" w:eastAsia="Calibri" w:hAnsi="Calibri"/>
          <w:b w:val="false"/>
          <w:bCs w:val="false"/>
          <w:i w:val="false"/>
          <w:iCs w:val="false"/>
          <w:color w:val="131A21"/>
          <w:sz w:val="21"/>
          <w:szCs w:val="21"/>
        </w:rPr>
        <w:t xml:space="preserve">Realized P&amp;L alone made the pilot run look like a clean hundred-percent win rate, and made the continuous-score run look far worse than it was. In both cases open lots carried unrealized moves that the realized figure ignored entirely.</w:t>
      </w:r>
    </w:p>
    <w:p>
      <w:pPr>
        <w:pStyle w:val="Heading2"/>
        <w:spacing w:after="70" w:before="300"/>
      </w:pPr>
      <w:r>
        <w:rPr>
          <w:rFonts w:ascii="Georgia" w:cs="Georgia" w:eastAsia="Georgia" w:hAnsi="Georgia"/>
          <w:b/>
          <w:bCs/>
          <w:color w:val="131A21"/>
          <w:sz w:val="23"/>
          <w:szCs w:val="23"/>
        </w:rPr>
        <w:t xml:space="preserve">7.5  Out-of-sample discipline</w:t>
      </w:r>
    </w:p>
    <w:p>
      <w:pPr>
        <w:spacing w:after="140" w:before="0" w:line="300"/>
      </w:pPr>
      <w:r>
        <w:rPr>
          <w:rFonts w:ascii="Calibri" w:cs="Calibri" w:eastAsia="Calibri" w:hAnsi="Calibri"/>
          <w:b w:val="false"/>
          <w:bCs w:val="false"/>
          <w:i w:val="false"/>
          <w:iCs w:val="false"/>
          <w:color w:val="131A21"/>
          <w:sz w:val="21"/>
          <w:szCs w:val="21"/>
        </w:rPr>
        <w:t xml:space="preserve">The in-sample run was executed, examined, and then nothing was changed. No prompt was reworded, no parameter adjusted, no threshold moved. The out-of-sample run was then executed once.</w:t>
      </w:r>
    </w:p>
    <w:p>
      <w:pPr>
        <w:spacing w:after="140" w:before="0" w:line="300"/>
      </w:pPr>
      <w:r>
        <w:rPr>
          <w:rFonts w:ascii="Calibri" w:cs="Calibri" w:eastAsia="Calibri" w:hAnsi="Calibri"/>
          <w:b w:val="false"/>
          <w:bCs w:val="false"/>
          <w:i w:val="false"/>
          <w:iCs w:val="false"/>
          <w:color w:val="131A21"/>
          <w:sz w:val="21"/>
          <w:szCs w:val="21"/>
        </w:rPr>
        <w:t xml:space="preserve">This is recorded precisely because it is the property that makes the negative result trustworthy rather than another adjust-and-rerun cycle. It is also easy to claim and hard to verify after the fact, which is why it was written down at the time.</w:t>
      </w:r>
    </w:p>
    <w:p>
      <w:pPr>
        <w:pStyle w:val="Heading1"/>
        <w:pBdr>
          <w:bottom w:val="single" w:color="131A21" w:sz="8" w:space="6"/>
        </w:pBdr>
        <w:spacing w:after="90" w:before="460"/>
      </w:pPr>
      <w:r>
        <w:rPr>
          <w:rFonts w:ascii="Georgia" w:cs="Georgia" w:eastAsia="Georgia" w:hAnsi="Georgia"/>
          <w:b/>
          <w:bCs/>
          <w:color w:val="131A21"/>
          <w:sz w:val="30"/>
          <w:szCs w:val="30"/>
        </w:rPr>
        <w:t xml:space="preserve">8  Backtest results</w:t>
      </w:r>
    </w:p>
    <w:p>
      <w:pPr>
        <w:pStyle w:val="Heading2"/>
        <w:spacing w:after="70" w:before="300"/>
      </w:pPr>
      <w:r>
        <w:rPr>
          <w:rFonts w:ascii="Georgia" w:cs="Georgia" w:eastAsia="Georgia" w:hAnsi="Georgia"/>
          <w:b/>
          <w:bCs/>
          <w:color w:val="131A21"/>
          <w:sz w:val="23"/>
          <w:szCs w:val="23"/>
        </w:rPr>
        <w:t xml:space="preserve">8.1  The seven runs</w:t>
      </w:r>
    </w:p>
    <w:p>
      <w:pPr>
        <w:spacing w:after="140" w:before="0" w:line="300"/>
      </w:pPr>
      <w:r>
        <w:rPr>
          <w:rFonts w:ascii="Calibri" w:cs="Calibri" w:eastAsia="Calibri" w:hAnsi="Calibri"/>
          <w:b w:val="false"/>
          <w:bCs w:val="false"/>
          <w:i w:val="false"/>
          <w:iCs w:val="false"/>
          <w:color w:val="131A21"/>
          <w:sz w:val="21"/>
          <w:szCs w:val="21"/>
        </w:rPr>
        <w:t xml:space="preserve">All runs are AAPL, using headlines from the FNSPID corpus and prices from Alpaca’s IEX feed. Figures are mark-to-market, each measured against buy-and-hold over that run’s own window.</w:t>
      </w: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760"/>
        <w:gridCol w:w="2846"/>
        <w:gridCol w:w="900"/>
        <w:gridCol w:w="1300"/>
        <w:gridCol w:w="1300"/>
        <w:gridCol w:w="1920"/>
      </w:tblGrid>
      <w:tr>
        <w:trPr>
          <w:tblHeader/>
        </w:trPr>
        <w:tc>
          <w:tcPr>
            <w:tcW w:type="dxa" w:w="76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left"/>
            </w:pPr>
            <w:r>
              <w:rPr>
                <w:rFonts w:ascii="Calibri" w:cs="Calibri" w:eastAsia="Calibri" w:hAnsi="Calibri"/>
                <w:b/>
                <w:bCs/>
                <w:color w:val="6B7784"/>
                <w:sz w:val="16"/>
                <w:szCs w:val="16"/>
              </w:rPr>
              <w:t xml:space="preserve">Run</w:t>
            </w:r>
          </w:p>
        </w:tc>
        <w:tc>
          <w:tcPr>
            <w:tcW w:type="dxa" w:w="2846"/>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Configuration</w:t>
            </w:r>
          </w:p>
        </w:tc>
        <w:tc>
          <w:tcPr>
            <w:tcW w:type="dxa" w:w="9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Closed</w:t>
            </w:r>
          </w:p>
        </w:tc>
        <w:tc>
          <w:tcPr>
            <w:tcW w:type="dxa" w:w="13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Result</w:t>
            </w:r>
          </w:p>
        </w:tc>
        <w:tc>
          <w:tcPr>
            <w:tcW w:type="dxa" w:w="13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Buy &amp; hold</w:t>
            </w:r>
          </w:p>
        </w:tc>
        <w:tc>
          <w:tcPr>
            <w:tcW w:type="dxa" w:w="192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Difference</w:t>
            </w:r>
          </w:p>
        </w:tc>
      </w:tr>
      <w:tr>
        <w:tc>
          <w:tcPr>
            <w:tcW w:type="dxa" w:w="76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#3</w:t>
            </w:r>
          </w:p>
        </w:tc>
        <w:tc>
          <w:tcPr>
            <w:tcW w:type="dxa" w:w="284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categorical sentiment, pilot quarter</w:t>
            </w:r>
          </w:p>
        </w:tc>
        <w:tc>
          <w:tcPr>
            <w:tcW w:type="dxa" w:w="9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4</w:t>
            </w:r>
          </w:p>
        </w:tc>
        <w:tc>
          <w:tcPr>
            <w:tcW w:type="dxa" w:w="13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+6.21</w:t>
            </w:r>
          </w:p>
        </w:tc>
        <w:tc>
          <w:tcPr>
            <w:tcW w:type="dxa" w:w="13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−15.40</w:t>
            </w:r>
          </w:p>
        </w:tc>
        <w:tc>
          <w:tcPr>
            <w:tcW w:type="dxa" w:w="1920"/>
            <w:tcMar>
              <w:top w:type="dxa" w:w="85"/>
              <w:left w:type="dxa" w:w="105"/>
              <w:bottom w:type="dxa" w:w="85"/>
              <w:right w:type="dxa" w:w="105"/>
            </w:tcMar>
          </w:tcPr>
          <w:p>
            <w:pPr>
              <w:spacing w:after="0" w:line="250"/>
              <w:jc w:val="right"/>
            </w:pPr>
            <w:r>
              <w:rPr>
                <w:rFonts w:ascii="Consolas" w:cs="Consolas" w:eastAsia="Consolas" w:hAnsi="Consolas"/>
                <w:b/>
                <w:bCs/>
                <w:color w:val="1E6B4B"/>
                <w:sz w:val="18"/>
                <w:szCs w:val="18"/>
              </w:rPr>
              <w:t xml:space="preserve">+21.61</w:t>
            </w:r>
          </w:p>
        </w:tc>
      </w:tr>
      <w:tr>
        <w:tc>
          <w:tcPr>
            <w:tcW w:type="dxa" w:w="76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#4</w:t>
            </w:r>
          </w:p>
        </w:tc>
        <w:tc>
          <w:tcPr>
            <w:tcW w:type="dxa" w:w="284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categorical sentiment, in-sample</w:t>
            </w:r>
          </w:p>
        </w:tc>
        <w:tc>
          <w:tcPr>
            <w:tcW w:type="dxa" w:w="9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32</w:t>
            </w:r>
          </w:p>
        </w:tc>
        <w:tc>
          <w:tcPr>
            <w:tcW w:type="dxa" w:w="13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+864.62</w:t>
            </w:r>
          </w:p>
        </w:tc>
        <w:tc>
          <w:tcPr>
            <w:tcW w:type="dxa" w:w="13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+903.80</w:t>
            </w:r>
          </w:p>
        </w:tc>
        <w:tc>
          <w:tcPr>
            <w:tcW w:type="dxa" w:w="1920"/>
            <w:tcMar>
              <w:top w:type="dxa" w:w="85"/>
              <w:left w:type="dxa" w:w="105"/>
              <w:bottom w:type="dxa" w:w="85"/>
              <w:right w:type="dxa" w:w="105"/>
            </w:tcMar>
          </w:tcPr>
          <w:p>
            <w:pPr>
              <w:spacing w:after="0" w:line="250"/>
              <w:jc w:val="right"/>
            </w:pPr>
            <w:r>
              <w:rPr>
                <w:rFonts w:ascii="Consolas" w:cs="Consolas" w:eastAsia="Consolas" w:hAnsi="Consolas"/>
                <w:b w:val="false"/>
                <w:bCs w:val="false"/>
                <w:color w:val="A3372C"/>
                <w:sz w:val="18"/>
                <w:szCs w:val="18"/>
              </w:rPr>
              <w:t xml:space="preserve">−39.18</w:t>
            </w:r>
          </w:p>
        </w:tc>
      </w:tr>
      <w:tr>
        <w:tc>
          <w:tcPr>
            <w:tcW w:type="dxa" w:w="76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#6</w:t>
            </w:r>
          </w:p>
        </w:tc>
        <w:tc>
          <w:tcPr>
            <w:tcW w:type="dxa" w:w="284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categorical sentiment, out-of-sample</w:t>
            </w:r>
          </w:p>
        </w:tc>
        <w:tc>
          <w:tcPr>
            <w:tcW w:type="dxa" w:w="9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2</w:t>
            </w:r>
          </w:p>
        </w:tc>
        <w:tc>
          <w:tcPr>
            <w:tcW w:type="dxa" w:w="13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−63.10</w:t>
            </w:r>
          </w:p>
        </w:tc>
        <w:tc>
          <w:tcPr>
            <w:tcW w:type="dxa" w:w="13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+2.20</w:t>
            </w:r>
          </w:p>
        </w:tc>
        <w:tc>
          <w:tcPr>
            <w:tcW w:type="dxa" w:w="1920"/>
            <w:tcMar>
              <w:top w:type="dxa" w:w="85"/>
              <w:left w:type="dxa" w:w="105"/>
              <w:bottom w:type="dxa" w:w="85"/>
              <w:right w:type="dxa" w:w="105"/>
            </w:tcMar>
          </w:tcPr>
          <w:p>
            <w:pPr>
              <w:spacing w:after="0" w:line="250"/>
              <w:jc w:val="right"/>
            </w:pPr>
            <w:r>
              <w:rPr>
                <w:rFonts w:ascii="Consolas" w:cs="Consolas" w:eastAsia="Consolas" w:hAnsi="Consolas"/>
                <w:b w:val="false"/>
                <w:bCs w:val="false"/>
                <w:color w:val="A3372C"/>
                <w:sz w:val="18"/>
                <w:szCs w:val="18"/>
              </w:rPr>
              <w:t xml:space="preserve">−65.30</w:t>
            </w:r>
          </w:p>
        </w:tc>
      </w:tr>
      <w:tr>
        <w:tc>
          <w:tcPr>
            <w:tcW w:type="dxa" w:w="76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#7</w:t>
            </w:r>
          </w:p>
        </w:tc>
        <w:tc>
          <w:tcPr>
            <w:tcW w:type="dxa" w:w="284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sentiment ablated</w:t>
            </w:r>
          </w:p>
        </w:tc>
        <w:tc>
          <w:tcPr>
            <w:tcW w:type="dxa" w:w="9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33</w:t>
            </w:r>
          </w:p>
        </w:tc>
        <w:tc>
          <w:tcPr>
            <w:tcW w:type="dxa" w:w="13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+929.84</w:t>
            </w:r>
          </w:p>
        </w:tc>
        <w:tc>
          <w:tcPr>
            <w:tcW w:type="dxa" w:w="13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+970.60</w:t>
            </w:r>
          </w:p>
        </w:tc>
        <w:tc>
          <w:tcPr>
            <w:tcW w:type="dxa" w:w="1920"/>
            <w:tcMar>
              <w:top w:type="dxa" w:w="85"/>
              <w:left w:type="dxa" w:w="105"/>
              <w:bottom w:type="dxa" w:w="85"/>
              <w:right w:type="dxa" w:w="105"/>
            </w:tcMar>
          </w:tcPr>
          <w:p>
            <w:pPr>
              <w:spacing w:after="0" w:line="250"/>
              <w:jc w:val="right"/>
            </w:pPr>
            <w:r>
              <w:rPr>
                <w:rFonts w:ascii="Consolas" w:cs="Consolas" w:eastAsia="Consolas" w:hAnsi="Consolas"/>
                <w:b w:val="false"/>
                <w:bCs w:val="false"/>
                <w:color w:val="A3372C"/>
                <w:sz w:val="18"/>
                <w:szCs w:val="18"/>
              </w:rPr>
              <w:t xml:space="preserve">−40.76</w:t>
            </w:r>
          </w:p>
        </w:tc>
      </w:tr>
      <w:tr>
        <w:tc>
          <w:tcPr>
            <w:tcW w:type="dxa" w:w="76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#8</w:t>
            </w:r>
          </w:p>
        </w:tc>
        <w:tc>
          <w:tcPr>
            <w:tcW w:type="dxa" w:w="284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sentiment ablated</w:t>
            </w:r>
          </w:p>
        </w:tc>
        <w:tc>
          <w:tcPr>
            <w:tcW w:type="dxa" w:w="9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33</w:t>
            </w:r>
          </w:p>
        </w:tc>
        <w:tc>
          <w:tcPr>
            <w:tcW w:type="dxa" w:w="13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+896.15</w:t>
            </w:r>
          </w:p>
        </w:tc>
        <w:tc>
          <w:tcPr>
            <w:tcW w:type="dxa" w:w="13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+970.60</w:t>
            </w:r>
          </w:p>
        </w:tc>
        <w:tc>
          <w:tcPr>
            <w:tcW w:type="dxa" w:w="1920"/>
            <w:tcMar>
              <w:top w:type="dxa" w:w="85"/>
              <w:left w:type="dxa" w:w="105"/>
              <w:bottom w:type="dxa" w:w="85"/>
              <w:right w:type="dxa" w:w="105"/>
            </w:tcMar>
          </w:tcPr>
          <w:p>
            <w:pPr>
              <w:spacing w:after="0" w:line="250"/>
              <w:jc w:val="right"/>
            </w:pPr>
            <w:r>
              <w:rPr>
                <w:rFonts w:ascii="Consolas" w:cs="Consolas" w:eastAsia="Consolas" w:hAnsi="Consolas"/>
                <w:b w:val="false"/>
                <w:bCs w:val="false"/>
                <w:color w:val="A3372C"/>
                <w:sz w:val="18"/>
                <w:szCs w:val="18"/>
              </w:rPr>
              <w:t xml:space="preserve">−74.45</w:t>
            </w:r>
          </w:p>
        </w:tc>
      </w:tr>
      <w:tr>
        <w:tc>
          <w:tcPr>
            <w:tcW w:type="dxa" w:w="76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#9</w:t>
            </w:r>
          </w:p>
        </w:tc>
        <w:tc>
          <w:tcPr>
            <w:tcW w:type="dxa" w:w="284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categorical sentiment, replicate of #4</w:t>
            </w:r>
          </w:p>
        </w:tc>
        <w:tc>
          <w:tcPr>
            <w:tcW w:type="dxa" w:w="9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31</w:t>
            </w:r>
          </w:p>
        </w:tc>
        <w:tc>
          <w:tcPr>
            <w:tcW w:type="dxa" w:w="13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+840.45</w:t>
            </w:r>
          </w:p>
        </w:tc>
        <w:tc>
          <w:tcPr>
            <w:tcW w:type="dxa" w:w="13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+970.60</w:t>
            </w:r>
          </w:p>
        </w:tc>
        <w:tc>
          <w:tcPr>
            <w:tcW w:type="dxa" w:w="1920"/>
            <w:tcMar>
              <w:top w:type="dxa" w:w="85"/>
              <w:left w:type="dxa" w:w="105"/>
              <w:bottom w:type="dxa" w:w="85"/>
              <w:right w:type="dxa" w:w="105"/>
            </w:tcMar>
          </w:tcPr>
          <w:p>
            <w:pPr>
              <w:spacing w:after="0" w:line="250"/>
              <w:jc w:val="right"/>
            </w:pPr>
            <w:r>
              <w:rPr>
                <w:rFonts w:ascii="Consolas" w:cs="Consolas" w:eastAsia="Consolas" w:hAnsi="Consolas"/>
                <w:b w:val="false"/>
                <w:bCs w:val="false"/>
                <w:color w:val="A3372C"/>
                <w:sz w:val="18"/>
                <w:szCs w:val="18"/>
              </w:rPr>
              <w:t xml:space="preserve">−130.15</w:t>
            </w:r>
          </w:p>
        </w:tc>
      </w:tr>
      <w:tr>
        <w:tc>
          <w:tcPr>
            <w:tcW w:type="dxa" w:w="760"/>
            <w:shd w:fill="F2F4F7" w:color="auto" w:val="clear"/>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#14</w:t>
            </w:r>
          </w:p>
        </w:tc>
        <w:tc>
          <w:tcPr>
            <w:tcW w:type="dxa" w:w="2846"/>
            <w:shd w:fill="F2F4F7" w:color="auto" w:val="clear"/>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continuous score node</w:t>
            </w:r>
          </w:p>
        </w:tc>
        <w:tc>
          <w:tcPr>
            <w:tcW w:type="dxa" w:w="900"/>
            <w:shd w:fill="F2F4F7" w:color="auto" w:val="clear"/>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62</w:t>
            </w:r>
          </w:p>
        </w:tc>
        <w:tc>
          <w:tcPr>
            <w:tcW w:type="dxa" w:w="1300"/>
            <w:shd w:fill="F2F4F7" w:color="auto" w:val="clear"/>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+745.86</w:t>
            </w:r>
          </w:p>
        </w:tc>
        <w:tc>
          <w:tcPr>
            <w:tcW w:type="dxa" w:w="1300"/>
            <w:shd w:fill="F2F4F7" w:color="auto" w:val="clear"/>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+970.60</w:t>
            </w:r>
          </w:p>
        </w:tc>
        <w:tc>
          <w:tcPr>
            <w:tcW w:type="dxa" w:w="1920"/>
            <w:shd w:fill="F2F4F7" w:color="auto" w:val="clear"/>
            <w:tcMar>
              <w:top w:type="dxa" w:w="85"/>
              <w:left w:type="dxa" w:w="105"/>
              <w:bottom w:type="dxa" w:w="85"/>
              <w:right w:type="dxa" w:w="105"/>
            </w:tcMar>
          </w:tcPr>
          <w:p>
            <w:pPr>
              <w:spacing w:after="0" w:line="250"/>
              <w:jc w:val="right"/>
            </w:pPr>
            <w:r>
              <w:rPr>
                <w:rFonts w:ascii="Consolas" w:cs="Consolas" w:eastAsia="Consolas" w:hAnsi="Consolas"/>
                <w:b/>
                <w:bCs/>
                <w:color w:val="A3372C"/>
                <w:sz w:val="18"/>
                <w:szCs w:val="18"/>
              </w:rPr>
              <w:t xml:space="preserve">−224.74</w:t>
            </w:r>
          </w:p>
        </w:tc>
      </w:tr>
    </w:tbl>
    <w:p>
      <w:pPr>
        <w:spacing w:after="210" w:before="85" w:line="250"/>
      </w:pPr>
      <w:r>
        <w:rPr>
          <w:rFonts w:ascii="Calibri" w:cs="Calibri" w:eastAsia="Calibri" w:hAnsi="Calibri"/>
          <w:i/>
          <w:iCs/>
          <w:color w:val="6B7784"/>
          <w:sz w:val="17"/>
          <w:szCs w:val="17"/>
        </w:rPr>
        <w:t xml:space="preserve">The single positive row is a three-month pilot with four closed trades. It beat the baseline mainly because AAPL fell over that window, so buy-and-hold lost money and a largely idle system did not. That is not evidence of skill.</w:t>
      </w:r>
    </w:p>
    <w:p>
      <w:pPr>
        <w:pStyle w:val="Heading2"/>
        <w:spacing w:after="70" w:before="300"/>
      </w:pPr>
      <w:r>
        <w:rPr>
          <w:rFonts w:ascii="Georgia" w:cs="Georgia" w:eastAsia="Georgia" w:hAnsi="Georgia"/>
          <w:b/>
          <w:bCs/>
          <w:color w:val="131A21"/>
          <w:sz w:val="23"/>
          <w:szCs w:val="23"/>
        </w:rPr>
        <w:t xml:space="preserve">8.2  A baseline error, found by checking a number that looked wrong</w:t>
      </w:r>
    </w:p>
    <w:p>
      <w:pPr>
        <w:spacing w:after="140" w:before="0" w:line="300"/>
      </w:pPr>
      <w:r>
        <w:rPr>
          <w:rFonts w:ascii="Calibri" w:cs="Calibri" w:eastAsia="Calibri" w:hAnsi="Calibri"/>
          <w:b w:val="false"/>
          <w:bCs w:val="false"/>
          <w:i w:val="false"/>
          <w:iCs w:val="false"/>
          <w:color w:val="131A21"/>
          <w:sz w:val="21"/>
          <w:szCs w:val="21"/>
        </w:rPr>
        <w:t xml:space="preserve">Run #4 covered 2022-06-01 to 2023-06-30 — 283 trading days. Runs #7, #8, #9 and #14 covered 2022-06-03 to 2023-06-30 — 281 days. AAPL fell from 148.73 to 145.39 across those two extra days, which moves buy-and-hold by $66.80 on a 20-share basis.</w:t>
      </w:r>
    </w:p>
    <w:p>
      <w:pPr>
        <w:spacing w:after="140" w:before="0" w:line="300"/>
      </w:pPr>
      <w:r>
        <w:rPr>
          <w:rFonts w:ascii="Calibri" w:cs="Calibri" w:eastAsia="Calibri" w:hAnsi="Calibri"/>
          <w:b w:val="false"/>
          <w:bCs w:val="false"/>
          <w:i w:val="false"/>
          <w:iCs w:val="false"/>
          <w:color w:val="131A21"/>
          <w:sz w:val="21"/>
          <w:szCs w:val="21"/>
        </w:rPr>
        <w:t xml:space="preserve">Every earlier writeup compared the ablation runs against run #4’s +903.80 and concluded they had matched buy-and-hold. Against their own window’s +970.60 they were $41 to $74 below it. The comparison tool had been printing each run’s window the entire time; nobody read it. It now emits a warning when the runs passed to it do not share a window.</w:t>
      </w:r>
    </w:p>
    <w:p>
      <w:pPr>
        <w:spacing w:after="140" w:before="0" w:line="300"/>
      </w:pPr>
      <w:r>
        <w:rPr>
          <w:rFonts w:ascii="Calibri" w:cs="Calibri" w:eastAsia="Calibri" w:hAnsi="Calibri"/>
          <w:b w:val="false"/>
          <w:bCs w:val="false"/>
          <w:i w:val="false"/>
          <w:iCs w:val="false"/>
          <w:color w:val="131A21"/>
          <w:sz w:val="21"/>
          <w:szCs w:val="21"/>
        </w:rPr>
        <w:t xml:space="preserve">The correction strengthens the negative verdict rather than weakening it: no configuration this project has ever run has beaten buy-and-hold over a full window.</w:t>
      </w:r>
    </w:p>
    <w:p>
      <w:pPr>
        <w:pStyle w:val="Heading2"/>
        <w:spacing w:after="70" w:before="300"/>
      </w:pPr>
      <w:r>
        <w:rPr>
          <w:rFonts w:ascii="Georgia" w:cs="Georgia" w:eastAsia="Georgia" w:hAnsi="Georgia"/>
          <w:b/>
          <w:bCs/>
          <w:color w:val="131A21"/>
          <w:sz w:val="23"/>
          <w:szCs w:val="23"/>
        </w:rPr>
        <w:t xml:space="preserve">8.3  Reading the out-of-sample run</w:t>
      </w:r>
    </w:p>
    <w:p>
      <w:pPr>
        <w:spacing w:after="140" w:before="0" w:line="300"/>
      </w:pPr>
      <w:r>
        <w:rPr>
          <w:rFonts w:ascii="Calibri" w:cs="Calibri" w:eastAsia="Calibri" w:hAnsi="Calibri"/>
          <w:b w:val="false"/>
          <w:bCs w:val="false"/>
          <w:i w:val="false"/>
          <w:iCs w:val="false"/>
          <w:color w:val="131A21"/>
          <w:sz w:val="21"/>
          <w:szCs w:val="21"/>
        </w:rPr>
        <w:t xml:space="preserve">Run #6 is the one that matters. AAPL was almost exactly flat over the window — buy-and-hold returned $2.20 — and the system lost $63.10 marked to market. Losing money in a flat market is a worse outcome than losing money in a falling one.</w:t>
      </w:r>
    </w:p>
    <w:p>
      <w:pPr>
        <w:spacing w:after="140" w:before="0" w:line="300"/>
      </w:pPr>
      <w:r>
        <w:rPr>
          <w:rFonts w:ascii="Calibri" w:cs="Calibri" w:eastAsia="Calibri" w:hAnsi="Calibri"/>
          <w:b w:val="false"/>
          <w:bCs w:val="false"/>
          <w:i w:val="false"/>
          <w:iCs w:val="false"/>
          <w:color w:val="131A21"/>
          <w:sz w:val="21"/>
          <w:szCs w:val="21"/>
        </w:rPr>
        <w:t xml:space="preserve">The visible pattern was three consecutive buys on 19, 20 and 21 December at 197.02, 195.04 and 194.80, with nothing in the system capable of saying "stop adding". Section 10 tests that diagnosis and finds it only half right.</w:t>
      </w:r>
    </w:p>
    <w:p>
      <w:pPr>
        <w:pStyle w:val="Heading1"/>
        <w:pBdr>
          <w:bottom w:val="single" w:color="131A21" w:sz="8" w:space="6"/>
        </w:pBdr>
        <w:spacing w:after="90" w:before="460"/>
      </w:pPr>
      <w:r>
        <w:rPr>
          <w:rFonts w:ascii="Georgia" w:cs="Georgia" w:eastAsia="Georgia" w:hAnsi="Georgia"/>
          <w:b/>
          <w:bCs/>
          <w:color w:val="131A21"/>
          <w:sz w:val="30"/>
          <w:szCs w:val="30"/>
        </w:rPr>
        <w:t xml:space="preserve">9  Phase 04 — the sentiment model</w:t>
      </w:r>
    </w:p>
    <w:p>
      <w:pPr>
        <w:spacing w:after="170"/>
      </w:pPr>
      <w:r>
        <w:rPr>
          <w:rFonts w:ascii="Consolas" w:cs="Consolas" w:eastAsia="Consolas" w:hAnsi="Consolas"/>
          <w:color w:val="6B7784"/>
          <w:spacing w:val="20"/>
          <w:sz w:val="15"/>
          <w:szCs w:val="15"/>
        </w:rPr>
        <w:t xml:space="preserve">FIVE ATTEMPTS, TWO FRAMINGS, ONE ANSWER</w:t>
      </w:r>
    </w:p>
    <w:p>
      <w:pPr>
        <w:spacing w:after="140" w:before="0" w:line="300"/>
      </w:pPr>
      <w:r>
        <w:rPr>
          <w:rFonts w:ascii="Calibri" w:cs="Calibri" w:eastAsia="Calibri" w:hAnsi="Calibri"/>
          <w:b w:val="false"/>
          <w:bCs w:val="false"/>
          <w:i w:val="false"/>
          <w:iCs w:val="false"/>
          <w:color w:val="131A21"/>
          <w:sz w:val="21"/>
          <w:szCs w:val="21"/>
        </w:rPr>
        <w:t xml:space="preserve">The goal was to replace the sentiment node’s API call with a locally fine-tuned model, closing the LLM fine-tuning gap. What follows is the full sequence, because the order in which these failed is more informative than any one of them.</w:t>
      </w:r>
    </w:p>
    <w:p>
      <w:pPr>
        <w:pStyle w:val="Heading2"/>
        <w:spacing w:after="70" w:before="300"/>
      </w:pPr>
      <w:r>
        <w:rPr>
          <w:rFonts w:ascii="Georgia" w:cs="Georgia" w:eastAsia="Georgia" w:hAnsi="Georgia"/>
          <w:b/>
          <w:bCs/>
          <w:color w:val="131A21"/>
          <w:sz w:val="23"/>
          <w:szCs w:val="23"/>
        </w:rPr>
        <w:t xml:space="preserve">9.1  Attempt one: Financial PhraseBank</w:t>
      </w:r>
    </w:p>
    <w:p>
      <w:pPr>
        <w:spacing w:after="140" w:before="0" w:line="300"/>
      </w:pPr>
      <w:r>
        <w:rPr>
          <w:rFonts w:ascii="Calibri" w:cs="Calibri" w:eastAsia="Calibri" w:hAnsi="Calibri"/>
          <w:b w:val="false"/>
          <w:bCs w:val="false"/>
          <w:i w:val="false"/>
          <w:iCs w:val="false"/>
          <w:color w:val="131A21"/>
          <w:sz w:val="21"/>
          <w:szCs w:val="21"/>
        </w:rPr>
        <w:t xml:space="preserve">A QLoRA adapter (rank 16, alpha 32) on Qwen2.5-1.5B-Instruct with a 4-bit base, trained on the Financial PhraseBank sentiment corpus. It reached 90.7% accuracy on held-out PhraseBank data.</w:t>
      </w:r>
    </w:p>
    <w:p>
      <w:pPr>
        <w:spacing w:after="140" w:before="0" w:line="300"/>
      </w:pPr>
      <w:r>
        <w:rPr>
          <w:rFonts w:ascii="Calibri" w:cs="Calibri" w:eastAsia="Calibri" w:hAnsi="Calibri"/>
          <w:b w:val="false"/>
          <w:bCs w:val="false"/>
          <w:i w:val="false"/>
          <w:iCs w:val="false"/>
          <w:color w:val="131A21"/>
          <w:sz w:val="21"/>
          <w:szCs w:val="21"/>
        </w:rPr>
        <w:t xml:space="preserve">Evaluated against GPT-4o-mini on 469 real headline blocks it scored 84.0% agreement. That number looks respectable until the baseline is computed: GPT-4o-mini said HOLD on 96.8% of those rows, so a model that always says HOLD scores 96.8%. The adapter was below the do-nothing baseline.</w:t>
      </w:r>
    </w:p>
    <w:p>
      <w:pPr>
        <w:spacing w:after="140" w:before="0" w:line="300"/>
      </w:pPr>
      <w:r>
        <w:rPr>
          <w:rFonts w:ascii="Calibri" w:cs="Calibri" w:eastAsia="Calibri" w:hAnsi="Calibri"/>
          <w:b w:val="false"/>
          <w:bCs w:val="false"/>
          <w:i w:val="false"/>
          <w:iCs w:val="false"/>
          <w:color w:val="131A21"/>
          <w:sz w:val="21"/>
          <w:szCs w:val="21"/>
        </w:rPr>
        <w:t xml:space="preserve">The class-level breakdown is where it fails properly. BUY precision was 2 correct from 56 predictions — 3.6%. It never once agreed with any of the three SELL calls, and invented eight SELL calls on headlines the teacher read as neutral. Diagnosis: PhraseBank teaches news-sentiment classification, not headline-to-trade-action mapping. The model had learned "stock-adjacent headline, lean bullish".</w:t>
      </w:r>
    </w:p>
    <w:p>
      <w:pPr>
        <w:spacing w:after="140" w:before="0" w:line="300"/>
      </w:pPr>
      <w:r>
        <w:rPr>
          <w:rFonts w:ascii="Calibri" w:cs="Calibri" w:eastAsia="Calibri" w:hAnsi="Calibri"/>
          <w:b w:val="false"/>
          <w:bCs w:val="false"/>
          <w:i w:val="false"/>
          <w:iCs w:val="false"/>
          <w:color w:val="131A21"/>
          <w:sz w:val="21"/>
          <w:szCs w:val="21"/>
        </w:rPr>
        <w:t xml:space="preserve">A confidence threshold was tried as a cheap repair. At 0.8 the agreement rose to exactly 96.8% — precisely the always-HOLD baseline — because every BUY and SELL the model made fell below the threshold, including the two correct ones. The confidence scores carried no signal separating right calls from wrong ones.</w:t>
      </w:r>
    </w:p>
    <w:p>
      <w:pPr>
        <w:pStyle w:val="Heading2"/>
        <w:spacing w:after="70" w:before="300"/>
      </w:pPr>
      <w:r>
        <w:rPr>
          <w:rFonts w:ascii="Georgia" w:cs="Georgia" w:eastAsia="Georgia" w:hAnsi="Georgia"/>
          <w:b/>
          <w:bCs/>
          <w:color w:val="131A21"/>
          <w:sz w:val="23"/>
          <w:szCs w:val="23"/>
        </w:rPr>
        <w:t xml:space="preserve">9.2  Attempt two: distillation</w:t>
      </w:r>
    </w:p>
    <w:p>
      <w:pPr>
        <w:spacing w:after="140" w:before="0" w:line="300"/>
      </w:pPr>
      <w:r>
        <w:rPr>
          <w:rFonts w:ascii="Calibri" w:cs="Calibri" w:eastAsia="Calibri" w:hAnsi="Calibri"/>
          <w:b w:val="false"/>
          <w:bCs w:val="false"/>
          <w:i w:val="false"/>
          <w:iCs w:val="false"/>
          <w:color w:val="131A21"/>
          <w:sz w:val="21"/>
          <w:szCs w:val="21"/>
        </w:rPr>
        <w:t xml:space="preserve">A fresh adapter trained directly on GPT-4o-mini’s own decisions over real headlines: 469 rows, roughly 44 held out, minority classes oversampled six- and ten-fold, 488 training rows, three epochs, loss falling from 2.57 to 1.02.</w:t>
      </w:r>
    </w:p>
    <w:p>
      <w:pPr>
        <w:spacing w:after="140" w:before="0" w:line="300"/>
      </w:pPr>
      <w:r>
        <w:rPr>
          <w:rFonts w:ascii="Calibri" w:cs="Calibri" w:eastAsia="Calibri" w:hAnsi="Calibri"/>
          <w:b w:val="false"/>
          <w:bCs w:val="false"/>
          <w:i w:val="false"/>
          <w:iCs w:val="false"/>
          <w:color w:val="131A21"/>
          <w:sz w:val="21"/>
          <w:szCs w:val="21"/>
        </w:rPr>
        <w:t xml:space="preserve">Held-out agreement was 40 of 44 — 90.9%, which is exactly that split’s always-HOLD baseline. It predicted HOLD on all 44 rows. It had learned the constant function.</w:t>
      </w:r>
    </w:p>
    <w:p>
      <w:pPr>
        <w:pStyle w:val="Heading2"/>
        <w:spacing w:after="70" w:before="300"/>
      </w:pPr>
      <w:r>
        <w:rPr>
          <w:rFonts w:ascii="Georgia" w:cs="Georgia" w:eastAsia="Georgia" w:hAnsi="Georgia"/>
          <w:b/>
          <w:bCs/>
          <w:color w:val="131A21"/>
          <w:sz w:val="23"/>
          <w:szCs w:val="23"/>
        </w:rPr>
        <w:t xml:space="preserve">9.3  The inventory that explained both</w:t>
      </w:r>
    </w:p>
    <w:p>
      <w:pPr>
        <w:spacing w:after="140" w:before="0" w:line="300"/>
      </w:pPr>
      <w:r>
        <w:rPr>
          <w:rFonts w:ascii="Calibri" w:cs="Calibri" w:eastAsia="Calibri" w:hAnsi="Calibri"/>
          <w:b w:val="false"/>
          <w:bCs w:val="false"/>
          <w:i w:val="false"/>
          <w:iCs w:val="false"/>
          <w:color w:val="131A21"/>
          <w:sz w:val="21"/>
          <w:szCs w:val="21"/>
        </w:rPr>
        <w:t xml:space="preserve">A single database query settled it. Across every backtest the teacher had produced 17 BUY, 3 SELL and 537 HOLD calls, on one symbol, over heavily overlapping date ranges. Oversampling duplicates minority examples; it does not create variety, and on that distribution the constant function is the easiest loss minimum available.</w:t>
      </w:r>
    </w:p>
    <w:tbl>
      <w:tblPr>
        <w:tblW w:type="dxa" w:w="9026"/>
        <w:tblBorders>
          <w:top w:val="none" w:color="auto" w:sz="0"/>
          <w:left w:val="single" w:color="8A5A16" w:sz="18"/>
          <w:bottom w:val="none" w:color="auto" w:sz="0"/>
          <w:right w:val="none" w:color="auto" w:sz="0"/>
          <w:insideH w:val="none" w:color="auto" w:sz="0"/>
          <w:insideV w:val="none" w:color="auto" w:sz="0"/>
        </w:tblBorders>
      </w:tblPr>
      <w:tblGrid>
        <w:gridCol w:w="9026"/>
      </w:tblGrid>
      <w:tr>
        <w:tc>
          <w:tcPr>
            <w:tcW w:type="dxa" w:w="9026"/>
            <w:shd w:fill="F2F4F7" w:color="auto" w:val="clear"/>
            <w:tcMar>
              <w:top w:type="dxa" w:w="170"/>
              <w:left w:type="dxa" w:w="210"/>
              <w:bottom w:type="dxa" w:w="170"/>
              <w:right w:type="dxa" w:w="210"/>
            </w:tcMar>
          </w:tcPr>
          <w:p>
            <w:pPr>
              <w:spacing w:after="100" w:before="0" w:line="300"/>
            </w:pPr>
            <w:r>
              <w:rPr>
                <w:rFonts w:ascii="Calibri" w:cs="Calibri" w:eastAsia="Calibri" w:hAnsi="Calibri"/>
                <w:b/>
                <w:bCs/>
                <w:i w:val="false"/>
                <w:iCs w:val="false"/>
                <w:color w:val="131A21"/>
                <w:sz w:val="21"/>
                <w:szCs w:val="21"/>
              </w:rPr>
              <w:t xml:space="preserve">Two rounds of hyperparameter and threshold work bought nothing. One query answered the question.</w:t>
            </w:r>
          </w:p>
          <w:p>
            <w:pPr>
              <w:spacing w:after="0" w:before="0" w:line="300"/>
            </w:pPr>
            <w:r>
              <w:rPr>
                <w:rFonts w:ascii="Calibri" w:cs="Calibri" w:eastAsia="Calibri" w:hAnsi="Calibri"/>
                <w:b w:val="false"/>
                <w:bCs w:val="false"/>
                <w:i w:val="false"/>
                <w:iCs w:val="false"/>
                <w:color w:val="131A21"/>
                <w:sz w:val="21"/>
                <w:szCs w:val="21"/>
              </w:rPr>
              <w:t xml:space="preserve">Model-quality problems on this project were, without exception, data problems. Checking class counts and symbol variety before a training run became a standing rule after this.</w:t>
            </w:r>
          </w:p>
        </w:tc>
      </w:tr>
    </w:tbl>
    <w:p>
      <w:pPr>
        <w:pStyle w:val="Heading2"/>
        <w:spacing w:after="70" w:before="300"/>
      </w:pPr>
      <w:r>
        <w:rPr>
          <w:rFonts w:ascii="Georgia" w:cs="Georgia" w:eastAsia="Georgia" w:hAnsi="Georgia"/>
          <w:b/>
          <w:bCs/>
          <w:color w:val="131A21"/>
          <w:sz w:val="23"/>
          <w:szCs w:val="23"/>
        </w:rPr>
        <w:t xml:space="preserve">9.4  The ablation</w:t>
      </w:r>
    </w:p>
    <w:p>
      <w:pPr>
        <w:spacing w:after="140" w:before="0" w:line="300"/>
      </w:pPr>
      <w:r>
        <w:rPr>
          <w:rFonts w:ascii="Calibri" w:cs="Calibri" w:eastAsia="Calibri" w:hAnsi="Calibri"/>
          <w:b w:val="false"/>
          <w:bCs w:val="false"/>
          <w:i w:val="false"/>
          <w:iCs w:val="false"/>
          <w:color w:val="131A21"/>
          <w:sz w:val="21"/>
          <w:szCs w:val="21"/>
        </w:rPr>
        <w:t xml:space="preserve">Roughly 6,000 labelling calls were about to be spent collecting more training data. Before that, the node was ablated: its content replaced with a fixed neutral stand-in while the graph structure and the Portfolio Manager’s real language-model calls were held constant. Two runs per configuration, to measure run-to-run variance rather than assume it.</w:t>
      </w: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3300"/>
        <w:gridCol w:w="1900"/>
        <w:gridCol w:w="1276"/>
        <w:gridCol w:w="1275"/>
        <w:gridCol w:w="1275"/>
      </w:tblGrid>
      <w:tr>
        <w:trPr>
          <w:tblHeader/>
        </w:trPr>
        <w:tc>
          <w:tcPr>
            <w:tcW w:type="dxa" w:w="33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left"/>
            </w:pPr>
            <w:r>
              <w:rPr>
                <w:rFonts w:ascii="Calibri" w:cs="Calibri" w:eastAsia="Calibri" w:hAnsi="Calibri"/>
                <w:b/>
                <w:bCs/>
                <w:color w:val="6B7784"/>
                <w:sz w:val="16"/>
                <w:szCs w:val="16"/>
              </w:rPr>
              <w:t xml:space="preserve">Configuration</w:t>
            </w:r>
          </w:p>
        </w:tc>
        <w:tc>
          <w:tcPr>
            <w:tcW w:type="dxa" w:w="19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Mark-to-market</w:t>
            </w:r>
          </w:p>
        </w:tc>
        <w:tc>
          <w:tcPr>
            <w:tcW w:type="dxa" w:w="1276"/>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BUY</w:t>
            </w:r>
          </w:p>
        </w:tc>
        <w:tc>
          <w:tcPr>
            <w:tcW w:type="dxa" w:w="1275"/>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SELL</w:t>
            </w:r>
          </w:p>
        </w:tc>
        <w:tc>
          <w:tcPr>
            <w:tcW w:type="dxa" w:w="1275"/>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HOLD</w:t>
            </w:r>
          </w:p>
        </w:tc>
      </w:tr>
      <w:tr>
        <w:tc>
          <w:tcPr>
            <w:tcW w:type="dxa" w:w="33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sentiment node active (run #4)</w:t>
            </w:r>
          </w:p>
        </w:tc>
        <w:tc>
          <w:tcPr>
            <w:tcW w:type="dxa" w:w="19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+864.62</w:t>
            </w:r>
          </w:p>
        </w:tc>
        <w:tc>
          <w:tcPr>
            <w:tcW w:type="dxa" w:w="127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22</w:t>
            </w:r>
          </w:p>
        </w:tc>
        <w:tc>
          <w:tcPr>
            <w:tcW w:type="dxa" w:w="1275"/>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20</w:t>
            </w:r>
          </w:p>
        </w:tc>
        <w:tc>
          <w:tcPr>
            <w:tcW w:type="dxa" w:w="1275"/>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241</w:t>
            </w:r>
          </w:p>
        </w:tc>
      </w:tr>
      <w:tr>
        <w:tc>
          <w:tcPr>
            <w:tcW w:type="dxa" w:w="33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sentiment node active (run #9)</w:t>
            </w:r>
          </w:p>
        </w:tc>
        <w:tc>
          <w:tcPr>
            <w:tcW w:type="dxa" w:w="19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+840.45</w:t>
            </w:r>
          </w:p>
        </w:tc>
        <w:tc>
          <w:tcPr>
            <w:tcW w:type="dxa" w:w="127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18</w:t>
            </w:r>
          </w:p>
        </w:tc>
        <w:tc>
          <w:tcPr>
            <w:tcW w:type="dxa" w:w="1275"/>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18</w:t>
            </w:r>
          </w:p>
        </w:tc>
        <w:tc>
          <w:tcPr>
            <w:tcW w:type="dxa" w:w="1275"/>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245</w:t>
            </w:r>
          </w:p>
        </w:tc>
      </w:tr>
      <w:tr>
        <w:tc>
          <w:tcPr>
            <w:tcW w:type="dxa" w:w="33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neutral stand-in (run #8)</w:t>
            </w:r>
          </w:p>
        </w:tc>
        <w:tc>
          <w:tcPr>
            <w:tcW w:type="dxa" w:w="19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+896.15</w:t>
            </w:r>
          </w:p>
        </w:tc>
        <w:tc>
          <w:tcPr>
            <w:tcW w:type="dxa" w:w="127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29</w:t>
            </w:r>
          </w:p>
        </w:tc>
        <w:tc>
          <w:tcPr>
            <w:tcW w:type="dxa" w:w="1275"/>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25</w:t>
            </w:r>
          </w:p>
        </w:tc>
        <w:tc>
          <w:tcPr>
            <w:tcW w:type="dxa" w:w="1275"/>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227</w:t>
            </w:r>
          </w:p>
        </w:tc>
      </w:tr>
      <w:tr>
        <w:tc>
          <w:tcPr>
            <w:tcW w:type="dxa" w:w="33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neutral stand-in (run #7)</w:t>
            </w:r>
          </w:p>
        </w:tc>
        <w:tc>
          <w:tcPr>
            <w:tcW w:type="dxa" w:w="19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+929.84</w:t>
            </w:r>
          </w:p>
        </w:tc>
        <w:tc>
          <w:tcPr>
            <w:tcW w:type="dxa" w:w="127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30</w:t>
            </w:r>
          </w:p>
        </w:tc>
        <w:tc>
          <w:tcPr>
            <w:tcW w:type="dxa" w:w="1275"/>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25</w:t>
            </w:r>
          </w:p>
        </w:tc>
        <w:tc>
          <w:tcPr>
            <w:tcW w:type="dxa" w:w="1275"/>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226</w:t>
            </w:r>
          </w:p>
        </w:tc>
      </w:tr>
    </w:tbl>
    <w:p>
      <w:pPr>
        <w:spacing w:after="140" w:before="0" w:line="300"/>
      </w:pPr>
      <w:r>
        <w:rPr>
          <w:rFonts w:ascii="Calibri" w:cs="Calibri" w:eastAsia="Calibri" w:hAnsi="Calibri"/>
          <w:b w:val="false"/>
          <w:bCs w:val="false"/>
          <w:i w:val="false"/>
          <w:iCs w:val="false"/>
          <w:color w:val="131A21"/>
          <w:sz w:val="21"/>
          <w:szCs w:val="21"/>
        </w:rPr>
        <w:t xml:space="preserve">Removing the node’s content improved the result by about 60 on average, at roughly twice the measured within-configuration spread, with no overlap between the groups. The mechanism is visible in the action counts: removing it produced about nine more buys, six more sells and eighteen fewer holds, consistently across both runs.</w:t>
      </w:r>
    </w:p>
    <w:p>
      <w:pPr>
        <w:spacing w:after="140" w:before="0" w:line="300"/>
      </w:pPr>
      <w:r>
        <w:rPr>
          <w:rFonts w:ascii="Calibri" w:cs="Calibri" w:eastAsia="Calibri" w:hAnsi="Calibri"/>
          <w:b w:val="false"/>
          <w:bCs w:val="false"/>
          <w:i w:val="false"/>
          <w:iCs w:val="false"/>
          <w:color w:val="131A21"/>
          <w:sz w:val="21"/>
          <w:szCs w:val="21"/>
        </w:rPr>
        <w:t xml:space="preserve">The node’s near-constant HOLD votes were reading to the Portfolio Manager as a vote against trading, and over that window the trades they suppressed were profitable. An agent that abstains most of the time is not automatically harmless — abstention was precisely why it looked safe to keep.</w:t>
      </w:r>
    </w:p>
    <w:p>
      <w:pPr>
        <w:pStyle w:val="Heading2"/>
        <w:spacing w:after="70" w:before="300"/>
      </w:pPr>
      <w:r>
        <w:rPr>
          <w:rFonts w:ascii="Georgia" w:cs="Georgia" w:eastAsia="Georgia" w:hAnsi="Georgia"/>
          <w:b/>
          <w:bCs/>
          <w:color w:val="131A21"/>
          <w:sz w:val="23"/>
          <w:szCs w:val="23"/>
        </w:rPr>
        <w:t xml:space="preserve">9.5  The rewrite to a continuous score</w:t>
      </w:r>
    </w:p>
    <w:p>
      <w:pPr>
        <w:spacing w:after="140" w:before="0" w:line="300"/>
      </w:pPr>
      <w:r>
        <w:rPr>
          <w:rFonts w:ascii="Calibri" w:cs="Calibri" w:eastAsia="Calibri" w:hAnsi="Calibri"/>
          <w:b w:val="false"/>
          <w:bCs w:val="false"/>
          <w:i w:val="false"/>
          <w:iCs w:val="false"/>
          <w:color w:val="131A21"/>
          <w:sz w:val="21"/>
          <w:szCs w:val="21"/>
        </w:rPr>
        <w:t xml:space="preserve">The categorical shape was the root cause of both failed adapters and the ablation result at once, so the node was rewritten to emit a continuous score from −1.0 to +1.0. A score has real variance even on routine news, making it a trainable regression target, and a near-zero score honestly means "no directional information" rather than "do not trade".</w:t>
      </w:r>
    </w:p>
    <w:p>
      <w:pPr>
        <w:spacing w:after="140" w:before="0" w:line="300"/>
      </w:pPr>
      <w:r>
        <w:rPr>
          <w:rFonts w:ascii="Calibri" w:cs="Calibri" w:eastAsia="Calibri" w:hAnsi="Calibri"/>
          <w:b w:val="false"/>
          <w:bCs w:val="false"/>
          <w:i w:val="false"/>
          <w:iCs w:val="false"/>
          <w:color w:val="131A21"/>
          <w:sz w:val="21"/>
          <w:szCs w:val="21"/>
        </w:rPr>
        <w:t xml:space="preserve">The rewrite succeeded at exactly what it was designed to do. Across 281 days the scores ranged −0.50 to +0.50, mean +0.057, standard deviation 0.235, with zero exact zeros and 184 positive against 97 negative days. No collapse.</w:t>
      </w:r>
    </w:p>
    <w:p>
      <w:pPr>
        <w:spacing w:after="140" w:before="0" w:line="300"/>
      </w:pPr>
      <w:r>
        <w:rPr>
          <w:rFonts w:ascii="Calibri" w:cs="Calibri" w:eastAsia="Calibri" w:hAnsi="Calibri"/>
          <w:b w:val="false"/>
          <w:bCs w:val="false"/>
          <w:i w:val="false"/>
          <w:iCs w:val="false"/>
          <w:color w:val="131A21"/>
          <w:sz w:val="21"/>
          <w:szCs w:val="21"/>
        </w:rPr>
        <w:t xml:space="preserve">It also produced the worst trading result of any configuration tested — +745.86 against a bar of +896 to +930 — by trading roughly twice as much: 62 closed trades against 32 or 33 everywhere else, at a 32% win rate.</w:t>
      </w:r>
    </w:p>
    <w:tbl>
      <w:tblPr>
        <w:tblW w:type="dxa" w:w="9026"/>
        <w:tblBorders>
          <w:top w:val="none" w:color="auto" w:sz="0"/>
          <w:left w:val="single" w:color="6B7784" w:sz="18"/>
          <w:bottom w:val="none" w:color="auto" w:sz="0"/>
          <w:right w:val="none" w:color="auto" w:sz="0"/>
          <w:insideH w:val="none" w:color="auto" w:sz="0"/>
          <w:insideV w:val="none" w:color="auto" w:sz="0"/>
        </w:tblBorders>
      </w:tblPr>
      <w:tblGrid>
        <w:gridCol w:w="9026"/>
      </w:tblGrid>
      <w:tr>
        <w:tc>
          <w:tcPr>
            <w:tcW w:type="dxa" w:w="9026"/>
            <w:shd w:fill="F2F4F7" w:color="auto" w:val="clear"/>
            <w:tcMar>
              <w:top w:type="dxa" w:w="170"/>
              <w:left w:type="dxa" w:w="210"/>
              <w:bottom w:type="dxa" w:w="170"/>
              <w:right w:type="dxa" w:w="210"/>
            </w:tcMar>
          </w:tcPr>
          <w:p>
            <w:pPr>
              <w:spacing w:after="100" w:before="0" w:line="300"/>
            </w:pPr>
            <w:r>
              <w:rPr>
                <w:rFonts w:ascii="Calibri" w:cs="Calibri" w:eastAsia="Calibri" w:hAnsi="Calibri"/>
                <w:b/>
                <w:bCs/>
                <w:i w:val="false"/>
                <w:iCs w:val="false"/>
                <w:color w:val="131A21"/>
                <w:sz w:val="21"/>
                <w:szCs w:val="21"/>
              </w:rPr>
              <w:t xml:space="preserve">Two independent claims, both true.</w:t>
            </w:r>
          </w:p>
          <w:p>
            <w:pPr>
              <w:spacing w:after="100" w:before="0" w:line="300"/>
            </w:pPr>
            <w:r>
              <w:rPr>
                <w:rFonts w:ascii="Calibri" w:cs="Calibri" w:eastAsia="Calibri" w:hAnsi="Calibri"/>
                <w:b w:val="false"/>
                <w:bCs w:val="false"/>
                <w:i w:val="false"/>
                <w:iCs w:val="false"/>
                <w:color w:val="131A21"/>
                <w:sz w:val="21"/>
                <w:szCs w:val="21"/>
              </w:rPr>
              <w:t xml:space="preserve">"The component works as specified" and "the system got better" are separate statements. The score node satisfied every criterion set for it and still traded worse. Shipping on the first without measuring the second is how a plausible component becomes a permanent regression.</w:t>
            </w:r>
          </w:p>
          <w:p>
            <w:pPr>
              <w:spacing w:after="0" w:before="0" w:line="300"/>
            </w:pPr>
            <w:r>
              <w:rPr>
                <w:rFonts w:ascii="Calibri" w:cs="Calibri" w:eastAsia="Calibri" w:hAnsi="Calibri"/>
                <w:b w:val="false"/>
                <w:bCs w:val="false"/>
                <w:i w:val="false"/>
                <w:iCs w:val="false"/>
                <w:color w:val="131A21"/>
                <w:sz w:val="21"/>
                <w:szCs w:val="21"/>
              </w:rPr>
              <w:t xml:space="preserve">A confound, named rather than buried: that run changed the sentiment node and the Portfolio Manager prompt together. The prompt change was designed to stop abstentions suppressing trades, and it worked, possibly too well. The run cannot attribute the extra trading to either cause. One further ablation would separate them and has not been run.</w:t>
            </w:r>
          </w:p>
        </w:tc>
      </w:tr>
    </w:tbl>
    <w:p>
      <w:pPr>
        <w:pStyle w:val="Heading2"/>
        <w:spacing w:after="70" w:before="300"/>
      </w:pPr>
      <w:r>
        <w:rPr>
          <w:rFonts w:ascii="Georgia" w:cs="Georgia" w:eastAsia="Georgia" w:hAnsi="Georgia"/>
          <w:b/>
          <w:bCs/>
          <w:color w:val="131A21"/>
          <w:sz w:val="23"/>
          <w:szCs w:val="23"/>
        </w:rPr>
        <w:t xml:space="preserve">9.6  v2: stop imitating the teacher</w:t>
      </w:r>
    </w:p>
    <w:p>
      <w:pPr>
        <w:spacing w:after="140" w:before="0" w:line="300"/>
      </w:pPr>
      <w:r>
        <w:rPr>
          <w:rFonts w:ascii="Calibri" w:cs="Calibri" w:eastAsia="Calibri" w:hAnsi="Calibri"/>
          <w:b w:val="false"/>
          <w:bCs w:val="false"/>
          <w:i w:val="false"/>
          <w:iCs w:val="false"/>
          <w:color w:val="131A21"/>
          <w:sz w:val="21"/>
          <w:szCs w:val="21"/>
        </w:rPr>
        <w:t xml:space="preserve">Every v1 failure had the same suspect. Imitating a teacher that says HOLD 96.8% of the time makes the constant function the loss minimum, and two independent runs found it. Worse, the ablation had shown that teacher’s opinion was actively harmful — so even a perfect imitation would have imitated something worth deleting.</w:t>
      </w:r>
    </w:p>
    <w:p>
      <w:pPr>
        <w:spacing w:after="140" w:before="0" w:line="300"/>
      </w:pPr>
      <w:r>
        <w:rPr>
          <w:rFonts w:ascii="Calibri" w:cs="Calibri" w:eastAsia="Calibri" w:hAnsi="Calibri"/>
          <w:b w:val="false"/>
          <w:bCs w:val="false"/>
          <w:i w:val="false"/>
          <w:iCs w:val="false"/>
          <w:color w:val="131A21"/>
          <w:sz w:val="21"/>
          <w:szCs w:val="21"/>
        </w:rPr>
        <w:t xml:space="preserve">So v2 discarded the teacher entirely and labelled from price data instead. The question became: do these headlines predict this stock’s subsequent return at all? The labels are free, continuous, and have real variance. None of v1’s three failure modes apply.</w:t>
      </w:r>
    </w:p>
    <w:p>
      <w:pPr>
        <w:pStyle w:val="Heading2"/>
        <w:spacing w:after="70" w:before="300"/>
      </w:pPr>
      <w:r>
        <w:rPr>
          <w:rFonts w:ascii="Georgia" w:cs="Georgia" w:eastAsia="Georgia" w:hAnsi="Georgia"/>
          <w:b/>
          <w:bCs/>
          <w:color w:val="131A21"/>
          <w:sz w:val="23"/>
          <w:szCs w:val="23"/>
        </w:rPr>
        <w:t xml:space="preserve">9.7  Dataset construction</w:t>
      </w:r>
    </w:p>
    <w:p>
      <w:pPr>
        <w:spacing w:after="140" w:before="0" w:line="300"/>
      </w:pPr>
      <w:r>
        <w:rPr>
          <w:rFonts w:ascii="Calibri" w:cs="Calibri" w:eastAsia="Calibri" w:hAnsi="Calibri"/>
          <w:b w:val="false"/>
          <w:bCs w:val="false"/>
          <w:i w:val="false"/>
          <w:iCs w:val="false"/>
          <w:color w:val="131A21"/>
          <w:sz w:val="21"/>
          <w:szCs w:val="21"/>
        </w:rPr>
        <w:t xml:space="preserve">41,701 examples across 104 symbols over 19 months, assembled from a 23 GB historical headline corpus and 42,743 daily bars pulled in one bulk request.</w:t>
      </w: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2900"/>
        <w:gridCol w:w="6126"/>
      </w:tblGrid>
      <w:tr>
        <w:trPr>
          <w:tblHeader/>
        </w:trPr>
        <w:tc>
          <w:tcPr>
            <w:tcW w:type="dxa" w:w="29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left"/>
            </w:pPr>
            <w:r>
              <w:rPr>
                <w:rFonts w:ascii="Calibri" w:cs="Calibri" w:eastAsia="Calibri" w:hAnsi="Calibri"/>
                <w:b/>
                <w:bCs/>
                <w:color w:val="6B7784"/>
                <w:sz w:val="16"/>
                <w:szCs w:val="16"/>
              </w:rPr>
              <w:t xml:space="preserve">Decision</w:t>
            </w:r>
          </w:p>
        </w:tc>
        <w:tc>
          <w:tcPr>
            <w:tcW w:type="dxa" w:w="6126"/>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Rationale</w:t>
            </w:r>
          </w:p>
        </w:tc>
      </w:tr>
      <w:tr>
        <w:tc>
          <w:tcPr>
            <w:tcW w:type="dxa" w:w="29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Excess return, market subtracted</w:t>
            </w:r>
          </w:p>
        </w:tc>
        <w:tc>
          <w:tcPr>
            <w:tcW w:type="dxa" w:w="61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A model trained on raw returns learns "the market went up that week" — true, useless, and indistinguishable from signal on a validation set drawn from the same period.</w:t>
            </w:r>
          </w:p>
        </w:tc>
      </w:tr>
      <w:tr>
        <w:tc>
          <w:tcPr>
            <w:tcW w:type="dxa" w:w="29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Z-scored per symbol</w:t>
            </w:r>
          </w:p>
        </w:tc>
        <w:tc>
          <w:tcPr>
            <w:tcW w:type="dxa" w:w="61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One volatile ticker’s daily range dwarfs a calm one’s. Without normalisation the loss is dominated by whichever symbols happen to move, and the model spends capacity learning which symbol it is reading.</w:t>
            </w:r>
          </w:p>
        </w:tc>
      </w:tr>
      <w:tr>
        <w:tc>
          <w:tcPr>
            <w:tcW w:type="dxa" w:w="29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Clipped at three sigma</w:t>
            </w:r>
          </w:p>
        </w:tc>
        <w:tc>
          <w:tcPr>
            <w:tcW w:type="dxa" w:w="61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One earnings gap would otherwise contribute more gradient than a hundred ordinary days.</w:t>
            </w:r>
          </w:p>
        </w:tc>
      </w:tr>
      <w:tr>
        <w:tc>
          <w:tcPr>
            <w:tcW w:type="dxa" w:w="29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Five-day horizon</w:t>
            </w:r>
          </w:p>
        </w:tc>
        <w:tc>
          <w:tcPr>
            <w:tcW w:type="dxa" w:w="61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One day is mostly microstructure; twenty days is barely attributable to the headline. Five trades noise against attribution.</w:t>
            </w:r>
          </w:p>
        </w:tc>
      </w:tr>
      <w:tr>
        <w:tc>
          <w:tcPr>
            <w:tcW w:type="dxa" w:w="29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Trading days, not calendar days</w:t>
            </w:r>
          </w:p>
        </w:tc>
        <w:tc>
          <w:tcPr>
            <w:tcW w:type="dxa" w:w="61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Counted through a sorted index of actual trading days. Calendar arithmetic silently shortens the horizon by roughly 28% across weekends.</w:t>
            </w:r>
          </w:p>
        </w:tc>
      </w:tr>
    </w:tbl>
    <w:p>
      <w:pPr>
        <w:pStyle w:val="Heading3"/>
        <w:spacing w:after="60" w:before="240"/>
      </w:pPr>
      <w:r>
        <w:rPr>
          <w:rFonts w:ascii="Calibri" w:cs="Calibri" w:eastAsia="Calibri" w:hAnsi="Calibri"/>
          <w:b/>
          <w:bCs/>
          <w:color w:val="24446E"/>
          <w:sz w:val="20"/>
          <w:szCs w:val="20"/>
        </w:rPr>
        <w:t xml:space="preserve">Splits, and why not random</w:t>
      </w:r>
    </w:p>
    <w:p>
      <w:pPr>
        <w:spacing w:after="140" w:before="0" w:line="300"/>
      </w:pPr>
      <w:r>
        <w:rPr>
          <w:rFonts w:ascii="Calibri" w:cs="Calibri" w:eastAsia="Calibri" w:hAnsi="Calibri"/>
          <w:b w:val="false"/>
          <w:bCs w:val="false"/>
          <w:i w:val="false"/>
          <w:iCs w:val="false"/>
          <w:color w:val="131A21"/>
          <w:sz w:val="21"/>
          <w:szCs w:val="21"/>
        </w:rPr>
        <w:t xml:space="preserve">Consecutive days share most of their headlines through the three-day lookback window. A random split would place near-duplicate rows on both sides and report memorisation as accuracy. The data was therefore split by time — validation from August 2023 — and separately by symbol, holding fifteen tickers out entirely.</w:t>
      </w:r>
    </w:p>
    <w:p>
      <w:pPr>
        <w:pStyle w:val="Heading2"/>
        <w:spacing w:after="70" w:before="300"/>
      </w:pPr>
      <w:r>
        <w:rPr>
          <w:rFonts w:ascii="Georgia" w:cs="Georgia" w:eastAsia="Georgia" w:hAnsi="Georgia"/>
          <w:b/>
          <w:bCs/>
          <w:color w:val="131A21"/>
          <w:sz w:val="23"/>
          <w:szCs w:val="23"/>
        </w:rPr>
        <w:t xml:space="preserve">9.8  The baseline, run before any GPU time</w:t>
      </w:r>
    </w:p>
    <w:p>
      <w:pPr>
        <w:spacing w:after="140" w:before="0" w:line="300"/>
      </w:pPr>
      <w:r>
        <w:rPr>
          <w:rFonts w:ascii="Calibri" w:cs="Calibri" w:eastAsia="Calibri" w:hAnsi="Calibri"/>
          <w:b w:val="false"/>
          <w:bCs w:val="false"/>
          <w:i w:val="false"/>
          <w:iCs w:val="false"/>
          <w:color w:val="131A21"/>
          <w:sz w:val="21"/>
          <w:szCs w:val="21"/>
        </w:rPr>
        <w:t xml:space="preserve">A TF-IDF and ridge regression baseline was fitted first. If a bag-of-words model extracts as much as a fine-tuned transformer, the transformer has demonstrated nothing about the task.</w:t>
      </w:r>
    </w:p>
    <w:p>
      <w:pPr>
        <w:spacing w:after="140" w:before="0" w:line="300"/>
      </w:pPr>
      <w:r>
        <w:rPr>
          <w:rFonts w:ascii="Calibri" w:cs="Calibri" w:eastAsia="Calibri" w:hAnsi="Calibri"/>
          <w:b w:val="false"/>
          <w:bCs w:val="false"/>
          <w:i w:val="false"/>
          <w:iCs w:val="false"/>
          <w:color w:val="131A21"/>
          <w:sz w:val="21"/>
          <w:szCs w:val="21"/>
        </w:rPr>
        <w:t xml:space="preserve">It scored an information coefficient of +0.002 on the clean split — nothing. The pre-registered bar for the fine-tuned model was then written down before training began: an IC of at least 0.03, and it must beat the baseline.</w:t>
      </w:r>
    </w:p>
    <w:p>
      <w:pPr>
        <w:pStyle w:val="Heading2"/>
        <w:spacing w:after="70" w:before="300"/>
      </w:pPr>
      <w:r>
        <w:rPr>
          <w:rFonts w:ascii="Georgia" w:cs="Georgia" w:eastAsia="Georgia" w:hAnsi="Georgia"/>
          <w:b/>
          <w:bCs/>
          <w:color w:val="131A21"/>
          <w:sz w:val="23"/>
          <w:szCs w:val="23"/>
        </w:rPr>
        <w:t xml:space="preserve">9.9  The fine-tuned result</w:t>
      </w:r>
    </w:p>
    <w:p>
      <w:pPr>
        <w:spacing w:after="140" w:before="0" w:line="300"/>
      </w:pPr>
      <w:r>
        <w:rPr>
          <w:rFonts w:ascii="Calibri" w:cs="Calibri" w:eastAsia="Calibri" w:hAnsi="Calibri"/>
          <w:b w:val="false"/>
          <w:bCs w:val="false"/>
          <w:i w:val="false"/>
          <w:iCs w:val="false"/>
          <w:color w:val="131A21"/>
          <w:sz w:val="21"/>
          <w:szCs w:val="21"/>
        </w:rPr>
        <w:t xml:space="preserve">Qwen2.5-0.5B-Instruct, 4-bit, LoRA rank 16 with a regression head — sequence classification with a single output and an explicit regression objective, rather than asking a generative model to emit a number as text. 12,000 training examples, one epoch.</w:t>
      </w: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3626"/>
        <w:gridCol w:w="1100"/>
        <w:gridCol w:w="1500"/>
        <w:gridCol w:w="1400"/>
        <w:gridCol w:w="1400"/>
      </w:tblGrid>
      <w:tr>
        <w:trPr>
          <w:tblHeader/>
        </w:trPr>
        <w:tc>
          <w:tcPr>
            <w:tcW w:type="dxa" w:w="3626"/>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left"/>
            </w:pPr>
            <w:r>
              <w:rPr>
                <w:rFonts w:ascii="Calibri" w:cs="Calibri" w:eastAsia="Calibri" w:hAnsi="Calibri"/>
                <w:b/>
                <w:bCs/>
                <w:color w:val="6B7784"/>
                <w:sz w:val="16"/>
                <w:szCs w:val="16"/>
              </w:rPr>
              <w:t xml:space="preserve">Validation split</w:t>
            </w:r>
          </w:p>
        </w:tc>
        <w:tc>
          <w:tcPr>
            <w:tcW w:type="dxa" w:w="11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n</w:t>
            </w:r>
          </w:p>
        </w:tc>
        <w:tc>
          <w:tcPr>
            <w:tcW w:type="dxa" w:w="15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Spearman IC</w:t>
            </w:r>
          </w:p>
        </w:tc>
        <w:tc>
          <w:tcPr>
            <w:tcW w:type="dxa" w:w="14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Sign acc.</w:t>
            </w:r>
          </w:p>
        </w:tc>
        <w:tc>
          <w:tcPr>
            <w:tcW w:type="dxa" w:w="14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Base rate</w:t>
            </w:r>
          </w:p>
        </w:tc>
      </w:tr>
      <w:tr>
        <w:tc>
          <w:tcPr>
            <w:tcW w:type="dxa" w:w="3626"/>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later dates, seen symbols</w:t>
            </w:r>
          </w:p>
        </w:tc>
        <w:tc>
          <w:tcPr>
            <w:tcW w:type="dxa" w:w="11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9,336</w:t>
            </w:r>
          </w:p>
        </w:tc>
        <w:tc>
          <w:tcPr>
            <w:tcW w:type="dxa" w:w="15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−0.0074</w:t>
            </w:r>
          </w:p>
        </w:tc>
        <w:tc>
          <w:tcPr>
            <w:tcW w:type="dxa" w:w="14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0.502</w:t>
            </w:r>
          </w:p>
        </w:tc>
        <w:tc>
          <w:tcPr>
            <w:tcW w:type="dxa" w:w="14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0.501</w:t>
            </w:r>
          </w:p>
        </w:tc>
      </w:tr>
      <w:tr>
        <w:tc>
          <w:tcPr>
            <w:tcW w:type="dxa" w:w="3626"/>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unseen symbols, overlapping dates</w:t>
            </w:r>
          </w:p>
        </w:tc>
        <w:tc>
          <w:tcPr>
            <w:tcW w:type="dxa" w:w="11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4,774</w:t>
            </w:r>
          </w:p>
        </w:tc>
        <w:tc>
          <w:tcPr>
            <w:tcW w:type="dxa" w:w="15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+0.0104</w:t>
            </w:r>
          </w:p>
        </w:tc>
        <w:tc>
          <w:tcPr>
            <w:tcW w:type="dxa" w:w="14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0.499</w:t>
            </w:r>
          </w:p>
        </w:tc>
        <w:tc>
          <w:tcPr>
            <w:tcW w:type="dxa" w:w="14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0.509</w:t>
            </w:r>
          </w:p>
        </w:tc>
      </w:tr>
      <w:tr>
        <w:tc>
          <w:tcPr>
            <w:tcW w:type="dxa" w:w="3626"/>
            <w:shd w:fill="F2F4F7" w:color="auto" w:val="clear"/>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unseen symbols and dates</w:t>
            </w:r>
          </w:p>
        </w:tc>
        <w:tc>
          <w:tcPr>
            <w:tcW w:type="dxa" w:w="1100"/>
            <w:shd w:fill="F2F4F7" w:color="auto" w:val="clear"/>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1,221</w:t>
            </w:r>
          </w:p>
        </w:tc>
        <w:tc>
          <w:tcPr>
            <w:tcW w:type="dxa" w:w="1500"/>
            <w:shd w:fill="F2F4F7" w:color="auto" w:val="clear"/>
            <w:tcMar>
              <w:top w:type="dxa" w:w="85"/>
              <w:left w:type="dxa" w:w="105"/>
              <w:bottom w:type="dxa" w:w="85"/>
              <w:right w:type="dxa" w:w="105"/>
            </w:tcMar>
          </w:tcPr>
          <w:p>
            <w:pPr>
              <w:spacing w:after="0" w:line="250"/>
              <w:jc w:val="right"/>
            </w:pPr>
            <w:r>
              <w:rPr>
                <w:rFonts w:ascii="Consolas" w:cs="Consolas" w:eastAsia="Consolas" w:hAnsi="Consolas"/>
                <w:b/>
                <w:bCs/>
                <w:color w:val="A3372C"/>
                <w:sz w:val="18"/>
                <w:szCs w:val="18"/>
              </w:rPr>
              <w:t xml:space="preserve">−0.0125</w:t>
            </w:r>
          </w:p>
        </w:tc>
        <w:tc>
          <w:tcPr>
            <w:tcW w:type="dxa" w:w="1400"/>
            <w:shd w:fill="F2F4F7" w:color="auto" w:val="clear"/>
            <w:tcMar>
              <w:top w:type="dxa" w:w="85"/>
              <w:left w:type="dxa" w:w="105"/>
              <w:bottom w:type="dxa" w:w="85"/>
              <w:right w:type="dxa" w:w="105"/>
            </w:tcMar>
          </w:tcPr>
          <w:p>
            <w:pPr>
              <w:spacing w:after="0" w:line="250"/>
              <w:jc w:val="right"/>
            </w:pPr>
            <w:r>
              <w:rPr>
                <w:rFonts w:ascii="Consolas" w:cs="Consolas" w:eastAsia="Consolas" w:hAnsi="Consolas"/>
                <w:b w:val="false"/>
                <w:bCs w:val="false"/>
                <w:color w:val="A3372C"/>
                <w:sz w:val="18"/>
                <w:szCs w:val="18"/>
              </w:rPr>
              <w:t xml:space="preserve">0.477</w:t>
            </w:r>
          </w:p>
        </w:tc>
        <w:tc>
          <w:tcPr>
            <w:tcW w:type="dxa" w:w="1400"/>
            <w:shd w:fill="F2F4F7" w:color="auto" w:val="clear"/>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0.524</w:t>
            </w:r>
          </w:p>
        </w:tc>
      </w:tr>
    </w:tbl>
    <w:p>
      <w:pPr>
        <w:spacing w:after="210" w:before="85" w:line="250"/>
      </w:pPr>
      <w:r>
        <w:rPr>
          <w:rFonts w:ascii="Calibri" w:cs="Calibri" w:eastAsia="Calibri" w:hAnsi="Calibri"/>
          <w:i/>
          <w:iCs/>
          <w:color w:val="6B7784"/>
          <w:sz w:val="17"/>
          <w:szCs w:val="17"/>
        </w:rPr>
        <w:t xml:space="preserve">Below the pre-registered bar, below the TF-IDF baseline, and below the accuracy of simply always guessing "up".</w:t>
      </w:r>
    </w:p>
    <w:p>
      <w:pPr>
        <w:pStyle w:val="Heading3"/>
        <w:spacing w:after="60" w:before="240"/>
      </w:pPr>
      <w:r>
        <w:rPr>
          <w:rFonts w:ascii="Calibri" w:cs="Calibri" w:eastAsia="Calibri" w:hAnsi="Calibri"/>
          <w:b/>
          <w:bCs/>
          <w:color w:val="24446E"/>
          <w:sz w:val="20"/>
          <w:szCs w:val="20"/>
        </w:rPr>
        <w:t xml:space="preserve">The prediction spread is the number that matters</w:t>
      </w:r>
    </w:p>
    <w:p>
      <w:pPr>
        <w:spacing w:after="140" w:before="0" w:line="300"/>
      </w:pPr>
      <w:r>
        <w:rPr>
          <w:rFonts w:ascii="Calibri" w:cs="Calibri" w:eastAsia="Calibri" w:hAnsi="Calibri"/>
          <w:b w:val="false"/>
          <w:bCs w:val="false"/>
          <w:i w:val="false"/>
          <w:iCs w:val="false"/>
          <w:color w:val="131A21"/>
          <w:sz w:val="21"/>
          <w:szCs w:val="21"/>
        </w:rPr>
        <w:t xml:space="preserve">Predictions had a standard deviation of 0.051 against labels at approximately 1.0. The model collapsed to predicting the mean.</w:t>
      </w:r>
    </w:p>
    <w:p>
      <w:pPr>
        <w:spacing w:after="140" w:before="0" w:line="300"/>
      </w:pPr>
      <w:r>
        <w:rPr>
          <w:rFonts w:ascii="Calibri" w:cs="Calibri" w:eastAsia="Calibri" w:hAnsi="Calibri"/>
          <w:b w:val="false"/>
          <w:bCs w:val="false"/>
          <w:i w:val="false"/>
          <w:iCs w:val="false"/>
          <w:color w:val="131A21"/>
          <w:sz w:val="21"/>
          <w:szCs w:val="21"/>
        </w:rPr>
        <w:t xml:space="preserve">That superficially resembles v1’s always-HOLD collapse and is the opposite thing. In v1 the labels were constant and the model reproduced a degenerate target. Here the labels vary and the model still predicts the mean, because predicting the mean is the correct loss-minimising answer when the input carries no information about the target. A model producing confident, varied predictions on this data would be the broken one.</w:t>
      </w:r>
    </w:p>
    <w:p>
      <w:pPr>
        <w:spacing w:after="140" w:before="0" w:line="300"/>
      </w:pPr>
      <w:r>
        <w:rPr>
          <w:rFonts w:ascii="Calibri" w:cs="Calibri" w:eastAsia="Calibri" w:hAnsi="Calibri"/>
          <w:b w:val="false"/>
          <w:bCs w:val="false"/>
          <w:i w:val="false"/>
          <w:iCs w:val="false"/>
          <w:color w:val="131A21"/>
          <w:sz w:val="21"/>
          <w:szCs w:val="21"/>
        </w:rPr>
        <w:t xml:space="preserve">Two further checks confirm it trained rather than failed to train: an R-squared of −0.011 is only marginally worse than a constant, which is what near-mean prediction produces, whereas an untrained random head gives wildly negative values. Mean absolute error of 0.6916 against a constant predictor’s 0.6861 tells the same story.</w:t>
      </w:r>
    </w:p>
    <w:p>
      <w:pPr>
        <w:pStyle w:val="Heading2"/>
        <w:spacing w:after="70" w:before="300"/>
      </w:pPr>
      <w:r>
        <w:rPr>
          <w:rFonts w:ascii="Georgia" w:cs="Georgia" w:eastAsia="Georgia" w:hAnsi="Georgia"/>
          <w:b/>
          <w:bCs/>
          <w:color w:val="131A21"/>
          <w:sz w:val="23"/>
          <w:szCs w:val="23"/>
        </w:rPr>
        <w:t xml:space="preserve">9.10  A flaw in the pre-registration itself</w:t>
      </w:r>
    </w:p>
    <w:p>
      <w:pPr>
        <w:spacing w:after="140" w:before="0" w:line="300"/>
      </w:pPr>
      <w:r>
        <w:rPr>
          <w:rFonts w:ascii="Calibri" w:cs="Calibri" w:eastAsia="Calibri" w:hAnsi="Calibri"/>
          <w:b w:val="false"/>
          <w:bCs w:val="false"/>
          <w:i w:val="false"/>
          <w:iCs w:val="false"/>
          <w:color w:val="131A21"/>
          <w:sz w:val="21"/>
          <w:szCs w:val="21"/>
        </w:rPr>
        <w:t xml:space="preserve">The bar was set at an IC of 0.03 and the 1,221-row clean split was named as deciding. A Spearman correlation on 1,221 rows has a standard error of approximately one over the square root of n, which is 0.029.</w:t>
      </w:r>
    </w:p>
    <w:p>
      <w:pPr>
        <w:spacing w:after="140" w:before="0" w:line="300"/>
      </w:pPr>
      <w:r>
        <w:rPr>
          <w:rFonts w:ascii="Calibri" w:cs="Calibri" w:eastAsia="Calibri" w:hAnsi="Calibri"/>
          <w:b w:val="false"/>
          <w:bCs w:val="false"/>
          <w:i w:val="false"/>
          <w:iCs w:val="false"/>
          <w:color w:val="131A21"/>
          <w:sz w:val="21"/>
          <w:szCs w:val="21"/>
        </w:rPr>
        <w:t xml:space="preserve">The bar therefore sat at roughly one standard error of the very split chosen to judge it, with a 95% interval of −0.069 to +0.044 — an interval that contains 0.03. That split could never have separated a true 0.03 from zero, whichever way the result landed. Resolving 0.03 at two standard errors requires around 4,400 rows.</w:t>
      </w: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3200"/>
        <w:gridCol w:w="2900"/>
        <w:gridCol w:w="2926"/>
      </w:tblGrid>
      <w:tr>
        <w:trPr>
          <w:tblHeader/>
        </w:trPr>
        <w:tc>
          <w:tcPr>
            <w:tcW w:type="dxa" w:w="32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left"/>
            </w:pPr>
            <w:r>
              <w:rPr>
                <w:rFonts w:ascii="Calibri" w:cs="Calibri" w:eastAsia="Calibri" w:hAnsi="Calibri"/>
                <w:b/>
                <w:bCs/>
                <w:color w:val="6B7784"/>
                <w:sz w:val="16"/>
                <w:szCs w:val="16"/>
              </w:rPr>
              <w:t xml:space="preserve">Split</w:t>
            </w:r>
          </w:p>
        </w:tc>
        <w:tc>
          <w:tcPr>
            <w:tcW w:type="dxa" w:w="29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95% interval on IC</w:t>
            </w:r>
          </w:p>
        </w:tc>
        <w:tc>
          <w:tcPr>
            <w:tcW w:type="dxa" w:w="2926"/>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Excludes the 0.03 bar?</w:t>
            </w:r>
          </w:p>
        </w:tc>
      </w:tr>
      <w:tr>
        <w:tc>
          <w:tcPr>
            <w:tcW w:type="dxa" w:w="32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later dates (n = 9,336)</w:t>
            </w:r>
          </w:p>
        </w:tc>
        <w:tc>
          <w:tcPr>
            <w:tcW w:type="dxa" w:w="29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[−0.028, +0.013]</w:t>
            </w:r>
          </w:p>
        </w:tc>
        <w:tc>
          <w:tcPr>
            <w:tcW w:type="dxa" w:w="2926"/>
            <w:tcMar>
              <w:top w:type="dxa" w:w="85"/>
              <w:left w:type="dxa" w:w="105"/>
              <w:bottom w:type="dxa" w:w="85"/>
              <w:right w:type="dxa" w:w="105"/>
            </w:tcMar>
          </w:tcPr>
          <w:p>
            <w:pPr>
              <w:spacing w:after="0" w:line="250"/>
              <w:jc w:val="right"/>
            </w:pPr>
            <w:r>
              <w:rPr>
                <w:rFonts w:ascii="Consolas" w:cs="Consolas" w:eastAsia="Consolas" w:hAnsi="Consolas"/>
                <w:b/>
                <w:bCs/>
                <w:color w:val="1E6B4B"/>
                <w:sz w:val="18"/>
                <w:szCs w:val="18"/>
              </w:rPr>
              <w:t xml:space="preserve">yes</w:t>
            </w:r>
          </w:p>
        </w:tc>
      </w:tr>
      <w:tr>
        <w:tc>
          <w:tcPr>
            <w:tcW w:type="dxa" w:w="32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unseen symbols (n = 4,774)</w:t>
            </w:r>
          </w:p>
        </w:tc>
        <w:tc>
          <w:tcPr>
            <w:tcW w:type="dxa" w:w="29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[−0.018, +0.039]</w:t>
            </w:r>
          </w:p>
        </w:tc>
        <w:tc>
          <w:tcPr>
            <w:tcW w:type="dxa" w:w="29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no</w:t>
            </w:r>
          </w:p>
        </w:tc>
      </w:tr>
      <w:tr>
        <w:tc>
          <w:tcPr>
            <w:tcW w:type="dxa" w:w="32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clean split (n = 1,221)</w:t>
            </w:r>
          </w:p>
        </w:tc>
        <w:tc>
          <w:tcPr>
            <w:tcW w:type="dxa" w:w="29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[−0.069, +0.044]</w:t>
            </w:r>
          </w:p>
        </w:tc>
        <w:tc>
          <w:tcPr>
            <w:tcW w:type="dxa" w:w="29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no</w:t>
            </w:r>
          </w:p>
        </w:tc>
      </w:tr>
    </w:tbl>
    <w:p>
      <w:pPr>
        <w:spacing w:after="140" w:before="0" w:line="300"/>
      </w:pPr>
      <w:r>
        <w:rPr>
          <w:rFonts w:ascii="Calibri" w:cs="Calibri" w:eastAsia="Calibri" w:hAnsi="Calibri"/>
          <w:b w:val="false"/>
          <w:bCs w:val="false"/>
          <w:i w:val="false"/>
          <w:iCs w:val="false"/>
          <w:color w:val="131A21"/>
          <w:sz w:val="21"/>
          <w:szCs w:val="21"/>
        </w:rPr>
        <w:t xml:space="preserve">The conclusion survives, but through a different split than the one advertised. The larger split is adequately powered and does exclude the bar; its weaker isolation permits only a leak that would help a model, and it still found nothing. The fix for a future run is to hold out thirty symbols instead of fifteen so the strict test is powered too.</w:t>
      </w:r>
    </w:p>
    <w:p>
      <w:pPr>
        <w:pStyle w:val="Heading2"/>
        <w:spacing w:after="70" w:before="300"/>
      </w:pPr>
      <w:r>
        <w:rPr>
          <w:rFonts w:ascii="Georgia" w:cs="Georgia" w:eastAsia="Georgia" w:hAnsi="Georgia"/>
          <w:b/>
          <w:bCs/>
          <w:color w:val="131A21"/>
          <w:sz w:val="23"/>
          <w:szCs w:val="23"/>
        </w:rPr>
        <w:t xml:space="preserve">9.11  What Phase 04 concludes</w:t>
      </w:r>
    </w:p>
    <w:p>
      <w:pPr>
        <w:spacing w:after="140" w:before="0" w:line="300"/>
      </w:pPr>
      <w:r>
        <w:rPr>
          <w:rFonts w:ascii="Calibri" w:cs="Calibri" w:eastAsia="Calibri" w:hAnsi="Calibri"/>
          <w:b w:val="false"/>
          <w:bCs w:val="false"/>
          <w:i w:val="false"/>
          <w:iCs w:val="false"/>
          <w:color w:val="131A21"/>
          <w:sz w:val="21"/>
          <w:szCs w:val="21"/>
        </w:rPr>
        <w:t xml:space="preserve">The question — can a small local model read these headlines and say anything useful about this stock’s next week — was asked five ways and answered no every time. The data was the suspect in v1, and v2 removed it as a suspect.</w:t>
      </w:r>
    </w:p>
    <w:p>
      <w:pPr>
        <w:spacing w:after="140" w:before="0" w:line="300"/>
      </w:pPr>
      <w:r>
        <w:rPr>
          <w:rFonts w:ascii="Calibri" w:cs="Calibri" w:eastAsia="Calibri" w:hAnsi="Calibri"/>
          <w:b w:val="false"/>
          <w:bCs w:val="false"/>
          <w:i w:val="false"/>
          <w:iCs w:val="false"/>
          <w:color w:val="131A21"/>
          <w:sz w:val="21"/>
          <w:szCs w:val="21"/>
        </w:rPr>
        <w:t xml:space="preserve">Phase 04 is therefore answered rather than abandoned. Stated limits: 0.5 billion parameters rather than 1.5 billion, 12,000 of 27,591 training examples, one epoch, a single five-day horizon, US large caps, and one market regime. The absence of a signal this setup can detect is not proof that none exists.</w:t>
      </w:r>
    </w:p>
    <w:p>
      <w:pPr>
        <w:pStyle w:val="Heading1"/>
        <w:pBdr>
          <w:bottom w:val="single" w:color="131A21" w:sz="8" w:space="6"/>
        </w:pBdr>
        <w:spacing w:after="90" w:before="460"/>
      </w:pPr>
      <w:r>
        <w:rPr>
          <w:rFonts w:ascii="Georgia" w:cs="Georgia" w:eastAsia="Georgia" w:hAnsi="Georgia"/>
          <w:b/>
          <w:bCs/>
          <w:color w:val="131A21"/>
          <w:sz w:val="30"/>
          <w:szCs w:val="30"/>
        </w:rPr>
        <w:t xml:space="preserve">10  Testing risk rules without paying for them</w:t>
      </w:r>
    </w:p>
    <w:p>
      <w:pPr>
        <w:spacing w:after="140" w:before="0" w:line="300"/>
      </w:pPr>
      <w:r>
        <w:rPr>
          <w:rFonts w:ascii="Calibri" w:cs="Calibri" w:eastAsia="Calibri" w:hAnsi="Calibri"/>
          <w:b w:val="false"/>
          <w:bCs w:val="false"/>
          <w:i w:val="false"/>
          <w:iCs w:val="false"/>
          <w:color w:val="131A21"/>
          <w:sz w:val="21"/>
          <w:szCs w:val="21"/>
        </w:rPr>
        <w:t xml:space="preserve">The Risk Manager is rule-based, the Portfolio Manager’s proposals are stored in `agent_opinions`, and the price the agent saw each day is stored in the decision’s technical snapshot. So the question "what would a different risk rule have done" is arithmetic over recorded data, not a new backtest.</w:t>
      </w:r>
    </w:p>
    <w:p>
      <w:pPr>
        <w:spacing w:after="140" w:before="0" w:line="300"/>
      </w:pPr>
      <w:r>
        <w:rPr>
          <w:rFonts w:ascii="Calibri" w:cs="Calibri" w:eastAsia="Calibri" w:hAnsi="Calibri"/>
          <w:b w:val="false"/>
          <w:bCs w:val="false"/>
          <w:i w:val="false"/>
          <w:iCs w:val="false"/>
          <w:color w:val="131A21"/>
          <w:sz w:val="21"/>
          <w:szCs w:val="21"/>
        </w:rPr>
        <w:t xml:space="preserve">A replay tool re-gates every recorded proposal through alternative rules. Critically, it refuses to print anything unless its baseline first reproduces the recorded run — on the out-of-sample window it matches to $0.0003. A replay that cannot reproduce the past cannot be trusted about hypotheticals.</w:t>
      </w:r>
    </w:p>
    <w:p>
      <w:pPr>
        <w:pStyle w:val="Heading2"/>
        <w:spacing w:after="70" w:before="300"/>
      </w:pPr>
      <w:r>
        <w:rPr>
          <w:rFonts w:ascii="Georgia" w:cs="Georgia" w:eastAsia="Georgia" w:hAnsi="Georgia"/>
          <w:b/>
          <w:bCs/>
          <w:color w:val="131A21"/>
          <w:sz w:val="23"/>
          <w:szCs w:val="23"/>
        </w:rPr>
        <w:t xml:space="preserve">10.1  The drawdown hypothesis, tested and rejected</w:t>
      </w: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4526"/>
        <w:gridCol w:w="2250"/>
        <w:gridCol w:w="2250"/>
      </w:tblGrid>
      <w:tr>
        <w:trPr>
          <w:tblHeader/>
        </w:trPr>
        <w:tc>
          <w:tcPr>
            <w:tcW w:type="dxa" w:w="4526"/>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left"/>
            </w:pPr>
            <w:r>
              <w:rPr>
                <w:rFonts w:ascii="Calibri" w:cs="Calibri" w:eastAsia="Calibri" w:hAnsi="Calibri"/>
                <w:b/>
                <w:bCs/>
                <w:color w:val="6B7784"/>
                <w:sz w:val="16"/>
                <w:szCs w:val="16"/>
              </w:rPr>
              <w:t xml:space="preserve">Rule applied to run #6</w:t>
            </w:r>
          </w:p>
        </w:tc>
        <w:tc>
          <w:tcPr>
            <w:tcW w:type="dxa" w:w="225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Result</w:t>
            </w:r>
          </w:p>
        </w:tc>
        <w:tc>
          <w:tcPr>
            <w:tcW w:type="dxa" w:w="225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vs. baseline</w:t>
            </w:r>
          </w:p>
        </w:tc>
      </w:tr>
      <w:tr>
        <w:tc>
          <w:tcPr>
            <w:tcW w:type="dxa" w:w="4526"/>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baseline (position cap only)</w:t>
            </w:r>
          </w:p>
        </w:tc>
        <w:tc>
          <w:tcPr>
            <w:tcW w:type="dxa" w:w="225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−63.10</w:t>
            </w:r>
          </w:p>
        </w:tc>
        <w:tc>
          <w:tcPr>
            <w:tcW w:type="dxa" w:w="225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+0.00</w:t>
            </w:r>
          </w:p>
        </w:tc>
      </w:tr>
      <w:tr>
        <w:tc>
          <w:tcPr>
            <w:tcW w:type="dxa" w:w="4526"/>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no adding when down 2%</w:t>
            </w:r>
          </w:p>
        </w:tc>
        <w:tc>
          <w:tcPr>
            <w:tcW w:type="dxa" w:w="225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−63.10</w:t>
            </w:r>
          </w:p>
        </w:tc>
        <w:tc>
          <w:tcPr>
            <w:tcW w:type="dxa" w:w="225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+0.00</w:t>
            </w:r>
          </w:p>
        </w:tc>
      </w:tr>
      <w:tr>
        <w:tc>
          <w:tcPr>
            <w:tcW w:type="dxa" w:w="4526"/>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no adding when down 1%</w:t>
            </w:r>
          </w:p>
        </w:tc>
        <w:tc>
          <w:tcPr>
            <w:tcW w:type="dxa" w:w="225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−49.24</w:t>
            </w:r>
          </w:p>
        </w:tc>
        <w:tc>
          <w:tcPr>
            <w:tcW w:type="dxa" w:w="2250"/>
            <w:tcMar>
              <w:top w:type="dxa" w:w="85"/>
              <w:left w:type="dxa" w:w="105"/>
              <w:bottom w:type="dxa" w:w="85"/>
              <w:right w:type="dxa" w:w="105"/>
            </w:tcMar>
          </w:tcPr>
          <w:p>
            <w:pPr>
              <w:spacing w:after="0" w:line="250"/>
              <w:jc w:val="right"/>
            </w:pPr>
            <w:r>
              <w:rPr>
                <w:rFonts w:ascii="Consolas" w:cs="Consolas" w:eastAsia="Consolas" w:hAnsi="Consolas"/>
                <w:b w:val="false"/>
                <w:bCs w:val="false"/>
                <w:color w:val="1E6B4B"/>
                <w:sz w:val="18"/>
                <w:szCs w:val="18"/>
              </w:rPr>
              <w:t xml:space="preserve">+13.86</w:t>
            </w:r>
          </w:p>
        </w:tc>
      </w:tr>
      <w:tr>
        <w:tc>
          <w:tcPr>
            <w:tcW w:type="dxa" w:w="4526"/>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stop-loss 3%</w:t>
            </w:r>
          </w:p>
        </w:tc>
        <w:tc>
          <w:tcPr>
            <w:tcW w:type="dxa" w:w="225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−49.03</w:t>
            </w:r>
          </w:p>
        </w:tc>
        <w:tc>
          <w:tcPr>
            <w:tcW w:type="dxa" w:w="2250"/>
            <w:tcMar>
              <w:top w:type="dxa" w:w="85"/>
              <w:left w:type="dxa" w:w="105"/>
              <w:bottom w:type="dxa" w:w="85"/>
              <w:right w:type="dxa" w:w="105"/>
            </w:tcMar>
          </w:tcPr>
          <w:p>
            <w:pPr>
              <w:spacing w:after="0" w:line="250"/>
              <w:jc w:val="right"/>
            </w:pPr>
            <w:r>
              <w:rPr>
                <w:rFonts w:ascii="Consolas" w:cs="Consolas" w:eastAsia="Consolas" w:hAnsi="Consolas"/>
                <w:b w:val="false"/>
                <w:bCs w:val="false"/>
                <w:color w:val="1E6B4B"/>
                <w:sz w:val="18"/>
                <w:szCs w:val="18"/>
              </w:rPr>
              <w:t xml:space="preserve">+14.06</w:t>
            </w:r>
          </w:p>
        </w:tc>
      </w:tr>
      <w:tr>
        <w:tc>
          <w:tcPr>
            <w:tcW w:type="dxa" w:w="4526"/>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stop-loss 5%</w:t>
            </w:r>
          </w:p>
        </w:tc>
        <w:tc>
          <w:tcPr>
            <w:tcW w:type="dxa" w:w="225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−64.94</w:t>
            </w:r>
          </w:p>
        </w:tc>
        <w:tc>
          <w:tcPr>
            <w:tcW w:type="dxa" w:w="2250"/>
            <w:tcMar>
              <w:top w:type="dxa" w:w="85"/>
              <w:left w:type="dxa" w:w="105"/>
              <w:bottom w:type="dxa" w:w="85"/>
              <w:right w:type="dxa" w:w="105"/>
            </w:tcMar>
          </w:tcPr>
          <w:p>
            <w:pPr>
              <w:spacing w:after="0" w:line="250"/>
              <w:jc w:val="right"/>
            </w:pPr>
            <w:r>
              <w:rPr>
                <w:rFonts w:ascii="Consolas" w:cs="Consolas" w:eastAsia="Consolas" w:hAnsi="Consolas"/>
                <w:b w:val="false"/>
                <w:bCs w:val="false"/>
                <w:color w:val="A3372C"/>
                <w:sz w:val="18"/>
                <w:szCs w:val="18"/>
              </w:rPr>
              <w:t xml:space="preserve">−1.84</w:t>
            </w:r>
          </w:p>
        </w:tc>
      </w:tr>
      <w:tr>
        <w:tc>
          <w:tcPr>
            <w:tcW w:type="dxa" w:w="4526"/>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trailing stop 5%</w:t>
            </w:r>
          </w:p>
        </w:tc>
        <w:tc>
          <w:tcPr>
            <w:tcW w:type="dxa" w:w="225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−64.94</w:t>
            </w:r>
          </w:p>
        </w:tc>
        <w:tc>
          <w:tcPr>
            <w:tcW w:type="dxa" w:w="2250"/>
            <w:tcMar>
              <w:top w:type="dxa" w:w="85"/>
              <w:left w:type="dxa" w:w="105"/>
              <w:bottom w:type="dxa" w:w="85"/>
              <w:right w:type="dxa" w:w="105"/>
            </w:tcMar>
          </w:tcPr>
          <w:p>
            <w:pPr>
              <w:spacing w:after="0" w:line="250"/>
              <w:jc w:val="right"/>
            </w:pPr>
            <w:r>
              <w:rPr>
                <w:rFonts w:ascii="Consolas" w:cs="Consolas" w:eastAsia="Consolas" w:hAnsi="Consolas"/>
                <w:b w:val="false"/>
                <w:bCs w:val="false"/>
                <w:color w:val="A3372C"/>
                <w:sz w:val="18"/>
                <w:szCs w:val="18"/>
              </w:rPr>
              <w:t xml:space="preserve">−1.84</w:t>
            </w:r>
          </w:p>
        </w:tc>
      </w:tr>
      <w:tr>
        <w:tc>
          <w:tcPr>
            <w:tcW w:type="dxa" w:w="4526"/>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min 3 trading days between buys</w:t>
            </w:r>
          </w:p>
        </w:tc>
        <w:tc>
          <w:tcPr>
            <w:tcW w:type="dxa" w:w="225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−49.24</w:t>
            </w:r>
          </w:p>
        </w:tc>
        <w:tc>
          <w:tcPr>
            <w:tcW w:type="dxa" w:w="2250"/>
            <w:tcMar>
              <w:top w:type="dxa" w:w="85"/>
              <w:left w:type="dxa" w:w="105"/>
              <w:bottom w:type="dxa" w:w="85"/>
              <w:right w:type="dxa" w:w="105"/>
            </w:tcMar>
          </w:tcPr>
          <w:p>
            <w:pPr>
              <w:spacing w:after="0" w:line="250"/>
              <w:jc w:val="right"/>
            </w:pPr>
            <w:r>
              <w:rPr>
                <w:rFonts w:ascii="Consolas" w:cs="Consolas" w:eastAsia="Consolas" w:hAnsi="Consolas"/>
                <w:b w:val="false"/>
                <w:bCs w:val="false"/>
                <w:color w:val="1E6B4B"/>
                <w:sz w:val="18"/>
                <w:szCs w:val="18"/>
              </w:rPr>
              <w:t xml:space="preserve">+13.86</w:t>
            </w:r>
          </w:p>
        </w:tc>
      </w:tr>
    </w:tbl>
    <w:p>
      <w:pPr>
        <w:spacing w:after="140" w:before="0" w:line="300"/>
      </w:pPr>
      <w:r>
        <w:rPr>
          <w:rFonts w:ascii="Calibri" w:cs="Calibri" w:eastAsia="Calibri" w:hAnsi="Calibri"/>
          <w:b w:val="false"/>
          <w:bCs w:val="false"/>
          <w:i w:val="false"/>
          <w:iCs w:val="false"/>
          <w:color w:val="131A21"/>
          <w:sz w:val="21"/>
          <w:szCs w:val="21"/>
        </w:rPr>
        <w:t xml:space="preserve">The best rule recovers $14 of a $63 loss, two rules make it worse, and every row remains roughly $50 behind simply holding.</w:t>
      </w:r>
    </w:p>
    <w:p>
      <w:pPr>
        <w:pStyle w:val="Heading2"/>
        <w:spacing w:after="70" w:before="300"/>
      </w:pPr>
      <w:r>
        <w:rPr>
          <w:rFonts w:ascii="Georgia" w:cs="Georgia" w:eastAsia="Georgia" w:hAnsi="Georgia"/>
          <w:b/>
          <w:bCs/>
          <w:color w:val="131A21"/>
          <w:sz w:val="23"/>
          <w:szCs w:val="23"/>
        </w:rPr>
        <w:t xml:space="preserve">10.2  It corrected the project’s own diagnosis</w:t>
      </w:r>
    </w:p>
    <w:p>
      <w:pPr>
        <w:spacing w:after="140" w:before="0" w:line="300"/>
      </w:pPr>
      <w:r>
        <w:rPr>
          <w:rFonts w:ascii="Calibri" w:cs="Calibri" w:eastAsia="Calibri" w:hAnsi="Calibri"/>
          <w:b w:val="false"/>
          <w:bCs w:val="false"/>
          <w:i w:val="false"/>
          <w:iCs w:val="false"/>
          <w:color w:val="131A21"/>
          <w:sz w:val="21"/>
          <w:szCs w:val="21"/>
        </w:rPr>
        <w:t xml:space="preserve">Three consecutive December buys into a decline had been recorded as the cause of the out-of-sample loss. They are 43% of it. The largest single contributor, 54%, is one September lot caught by a two-day 6.4% gap down — 189.73 to 182.89 to 177.59 — that no add-to-position rule can anticipate. And the December decline was only about 1.1% from the first buy to the third, which is why a 2% threshold changes nothing at all.</w:t>
      </w:r>
    </w:p>
    <w:p>
      <w:pPr>
        <w:spacing w:after="140" w:before="0" w:line="300"/>
      </w:pPr>
      <w:r>
        <w:rPr>
          <w:rFonts w:ascii="Calibri" w:cs="Calibri" w:eastAsia="Calibri" w:hAnsi="Calibri"/>
          <w:b w:val="false"/>
          <w:bCs w:val="false"/>
          <w:i w:val="false"/>
          <w:iCs w:val="false"/>
          <w:color w:val="131A21"/>
          <w:sz w:val="21"/>
          <w:szCs w:val="21"/>
        </w:rPr>
        <w:t xml:space="preserve">Note also that three apparently different rules land on exactly −49.24. They block the same two trades by three mechanisms. A table of seven rules was really testing about three ideas, which is worth knowing before anyone reports having evaluated seven risk rules.</w:t>
      </w:r>
    </w:p>
    <w:p>
      <w:pPr>
        <w:spacing w:after="140" w:before="0" w:line="300"/>
      </w:pPr>
      <w:r>
        <w:rPr>
          <w:rFonts w:ascii="Calibri" w:cs="Calibri" w:eastAsia="Calibri" w:hAnsi="Calibri"/>
          <w:b w:val="false"/>
          <w:bCs w:val="false"/>
          <w:i w:val="false"/>
          <w:iCs w:val="false"/>
          <w:color w:val="131A21"/>
          <w:sz w:val="21"/>
          <w:szCs w:val="21"/>
        </w:rPr>
        <w:t xml:space="preserve">Applied to the continuous-score run, every rule improves the result and spacing entries three trading days apart recovers +455.67 — the only configuration in the project ever to beat buy-and-hold. It is also threshold-sensitive: ten days gives only +19.39, where on run #6 the two settings were identical. A rule whose value collapses when the knob moves has been fitted to a window, not discovered in it.</w:t>
      </w:r>
    </w:p>
    <w:p>
      <w:pPr>
        <w:pStyle w:val="Heading1"/>
        <w:pBdr>
          <w:bottom w:val="single" w:color="131A21" w:sz="8" w:space="6"/>
        </w:pBdr>
        <w:spacing w:after="90" w:before="460"/>
      </w:pPr>
      <w:r>
        <w:rPr>
          <w:rFonts w:ascii="Georgia" w:cs="Georgia" w:eastAsia="Georgia" w:hAnsi="Georgia"/>
          <w:b/>
          <w:bCs/>
          <w:color w:val="131A21"/>
          <w:sz w:val="30"/>
          <w:szCs w:val="30"/>
        </w:rPr>
        <w:t xml:space="preserve">11  Phase 05 — Build pipeline</w:t>
      </w:r>
    </w:p>
    <w:p>
      <w:pPr>
        <w:spacing w:after="140" w:before="0" w:line="300"/>
      </w:pPr>
      <w:r>
        <w:rPr>
          <w:rFonts w:ascii="Calibri" w:cs="Calibri" w:eastAsia="Calibri" w:hAnsi="Calibri"/>
          <w:b w:val="false"/>
          <w:bCs w:val="false"/>
          <w:i w:val="false"/>
          <w:iCs w:val="false"/>
          <w:color w:val="131A21"/>
          <w:sz w:val="21"/>
          <w:szCs w:val="21"/>
        </w:rPr>
        <w:t xml:space="preserve">Before this phase the project was reproducible only by reading the documentation carefully: start a database container by hand with the right flags, create a virtual environment, run migrations, apply seed data manually, then start the server. Five manual steps, each with its own way to be wrong.</w:t>
      </w:r>
    </w:p>
    <w:p>
      <w:pPr>
        <w:pStyle w:val="ListParagraph"/>
        <w:numPr>
          <w:ilvl w:val="0"/>
          <w:numId w:val="2"/>
        </w:numPr>
        <w:spacing w:after="80" w:line="300"/>
      </w:pPr>
      <w:r>
        <w:rPr>
          <w:rFonts w:ascii="Calibri" w:cs="Calibri" w:eastAsia="Calibri" w:hAnsi="Calibri"/>
          <w:color w:val="131A21"/>
          <w:sz w:val="21"/>
          <w:szCs w:val="21"/>
        </w:rPr>
        <w:t xml:space="preserve">A Dockerfile on python:3.13-slim, running as a non-root user, with requirements installed on their own layer so a source edit does not invalidate the dependency install.</w:t>
      </w:r>
    </w:p>
    <w:p>
      <w:pPr>
        <w:pStyle w:val="ListParagraph"/>
        <w:numPr>
          <w:ilvl w:val="0"/>
          <w:numId w:val="2"/>
        </w:numPr>
        <w:spacing w:after="80" w:line="300"/>
      </w:pPr>
      <w:r>
        <w:rPr>
          <w:rFonts w:ascii="Calibri" w:cs="Calibri" w:eastAsia="Calibri" w:hAnsi="Calibri"/>
          <w:color w:val="131A21"/>
          <w:sz w:val="21"/>
          <w:szCs w:val="21"/>
        </w:rPr>
        <w:t xml:space="preserve">A compose stack with a database health check, so the application waits for the database to answer queries rather than merely to accept connections — a race the first version lost.</w:t>
      </w:r>
    </w:p>
    <w:p>
      <w:pPr>
        <w:pStyle w:val="ListParagraph"/>
        <w:numPr>
          <w:ilvl w:val="0"/>
          <w:numId w:val="2"/>
        </w:numPr>
        <w:spacing w:after="80" w:line="300"/>
      </w:pPr>
      <w:r>
        <w:rPr>
          <w:rFonts w:ascii="Calibri" w:cs="Calibri" w:eastAsia="Calibri" w:hAnsi="Calibri"/>
          <w:color w:val="131A21"/>
          <w:sz w:val="21"/>
          <w:szCs w:val="21"/>
        </w:rPr>
        <w:t xml:space="preserve">An idempotent bootstrap script applying migrations then seed data, safe to run on every container start.</w:t>
      </w:r>
    </w:p>
    <w:p>
      <w:pPr>
        <w:pStyle w:val="ListParagraph"/>
        <w:numPr>
          <w:ilvl w:val="0"/>
          <w:numId w:val="2"/>
        </w:numPr>
        <w:spacing w:after="80" w:line="300"/>
      </w:pPr>
      <w:r>
        <w:rPr>
          <w:rFonts w:ascii="Calibri" w:cs="Calibri" w:eastAsia="Calibri" w:hAnsi="Calibri"/>
          <w:color w:val="131A21"/>
          <w:sz w:val="21"/>
          <w:szCs w:val="21"/>
        </w:rPr>
        <w:t xml:space="preserve">GitHub Actions running the full test suite against a real PostgreSQL service container, plus a job that builds the image and imports the application inside it.</w:t>
      </w:r>
    </w:p>
    <w:p>
      <w:pPr>
        <w:pStyle w:val="Heading3"/>
        <w:spacing w:after="60" w:before="240"/>
      </w:pPr>
      <w:r>
        <w:rPr>
          <w:rFonts w:ascii="Calibri" w:cs="Calibri" w:eastAsia="Calibri" w:hAnsi="Calibri"/>
          <w:b/>
          <w:bCs/>
          <w:color w:val="24446E"/>
          <w:sz w:val="20"/>
          <w:szCs w:val="20"/>
        </w:rPr>
        <w:t xml:space="preserve">CI fails if any test skips</w:t>
      </w:r>
    </w:p>
    <w:p>
      <w:pPr>
        <w:spacing w:after="140" w:before="0" w:line="300"/>
      </w:pPr>
      <w:r>
        <w:rPr>
          <w:rFonts w:ascii="Calibri" w:cs="Calibri" w:eastAsia="Calibri" w:hAnsi="Calibri"/>
          <w:b w:val="false"/>
          <w:bCs w:val="false"/>
          <w:i w:val="false"/>
          <w:iCs w:val="false"/>
          <w:color w:val="131A21"/>
          <w:sz w:val="21"/>
          <w:szCs w:val="21"/>
        </w:rPr>
        <w:t xml:space="preserve">Six tests exist to prove multi-table transactional writes land correctly and that a backtest never touches the live tables. They skip themselves when no database is reachable, so continuous integration without a database service would have reported a green suite while running 33 of 39 tests.</w:t>
      </w:r>
    </w:p>
    <w:p>
      <w:pPr>
        <w:spacing w:after="140" w:before="0" w:line="300"/>
      </w:pPr>
      <w:r>
        <w:rPr>
          <w:rFonts w:ascii="Calibri" w:cs="Calibri" w:eastAsia="Calibri" w:hAnsi="Calibri"/>
          <w:b w:val="false"/>
          <w:bCs w:val="false"/>
          <w:i w:val="false"/>
          <w:iCs w:val="false"/>
          <w:color w:val="131A21"/>
          <w:sz w:val="21"/>
          <w:szCs w:val="21"/>
        </w:rPr>
        <w:t xml:space="preserve">That is not hypothetical — those six had been silently skipping on the development machine for two entire phases, for reasons covered in section 13. The pipeline therefore inspects its own output and fails if anything skipped. A green tick over a silently shortened suite is worse than a red one.</w:t>
      </w:r>
    </w:p>
    <w:p>
      <w:pPr>
        <w:pStyle w:val="Heading1"/>
        <w:pBdr>
          <w:bottom w:val="single" w:color="131A21" w:sz="8" w:space="6"/>
        </w:pBdr>
        <w:spacing w:after="90" w:before="460"/>
      </w:pPr>
      <w:r>
        <w:rPr>
          <w:rFonts w:ascii="Georgia" w:cs="Georgia" w:eastAsia="Georgia" w:hAnsi="Georgia"/>
          <w:b/>
          <w:bCs/>
          <w:color w:val="131A21"/>
          <w:sz w:val="30"/>
          <w:szCs w:val="30"/>
        </w:rPr>
        <w:t xml:space="preserve">12  Phase 06 — Scheduled deployment</w:t>
      </w:r>
    </w:p>
    <w:p>
      <w:pPr>
        <w:spacing w:after="140" w:before="0" w:line="300"/>
      </w:pPr>
      <w:r>
        <w:rPr>
          <w:rFonts w:ascii="Calibri" w:cs="Calibri" w:eastAsia="Calibri" w:hAnsi="Calibri"/>
          <w:b w:val="false"/>
          <w:bCs w:val="false"/>
          <w:i w:val="false"/>
          <w:iCs w:val="false"/>
          <w:color w:val="131A21"/>
          <w:sz w:val="21"/>
          <w:szCs w:val="21"/>
        </w:rPr>
        <w:t xml:space="preserve">Terraform provisioning a purpose-built network, a small instance running the container image, a private image registry, encrypted parameters for secrets, narrowly scoped instance roles, and a schedule that triggers one decision cycle per weekday through the cloud provider’s systems-manager channel.</w:t>
      </w:r>
    </w:p>
    <w:p>
      <w:pPr>
        <w:pStyle w:val="Heading3"/>
        <w:spacing w:after="60" w:before="240"/>
      </w:pPr>
      <w:r>
        <w:rPr>
          <w:rFonts w:ascii="Calibri" w:cs="Calibri" w:eastAsia="Calibri" w:hAnsi="Calibri"/>
          <w:b/>
          <w:bCs/>
          <w:color w:val="24446E"/>
          <w:sz w:val="20"/>
          <w:szCs w:val="20"/>
        </w:rPr>
        <w:t xml:space="preserve">Defaults chosen to be safe rather than useful</w:t>
      </w:r>
    </w:p>
    <w:p>
      <w:pPr>
        <w:pStyle w:val="ListParagraph"/>
        <w:numPr>
          <w:ilvl w:val="0"/>
          <w:numId w:val="2"/>
        </w:numPr>
        <w:spacing w:after="80" w:line="300"/>
      </w:pPr>
      <w:r>
        <w:rPr>
          <w:rFonts w:ascii="Calibri" w:cs="Calibri" w:eastAsia="Calibri" w:hAnsi="Calibri"/>
          <w:color w:val="131A21"/>
          <w:sz w:val="21"/>
          <w:szCs w:val="21"/>
        </w:rPr>
        <w:t xml:space="preserve">The schedule ships disabled. Every firing spends real money on language-model calls, so arming it is a separate, deliberate act recorded in a variables file.</w:t>
      </w:r>
    </w:p>
    <w:p>
      <w:pPr>
        <w:pStyle w:val="ListParagraph"/>
        <w:numPr>
          <w:ilvl w:val="0"/>
          <w:numId w:val="2"/>
        </w:numPr>
        <w:spacing w:after="80" w:line="300"/>
      </w:pPr>
      <w:r>
        <w:rPr>
          <w:rFonts w:ascii="Calibri" w:cs="Calibri" w:eastAsia="Calibri" w:hAnsi="Calibri"/>
          <w:color w:val="131A21"/>
          <w:sz w:val="21"/>
          <w:szCs w:val="21"/>
        </w:rPr>
        <w:t xml:space="preserve">The managed database is off by default; a container on the same instance costs nothing. Managed hosting is better practice and roughly $12 to $15 a month, and that trade-off belongs to whoever is paying.</w:t>
      </w:r>
    </w:p>
    <w:p>
      <w:pPr>
        <w:pStyle w:val="ListParagraph"/>
        <w:numPr>
          <w:ilvl w:val="0"/>
          <w:numId w:val="2"/>
        </w:numPr>
        <w:spacing w:after="80" w:line="300"/>
      </w:pPr>
      <w:r>
        <w:rPr>
          <w:rFonts w:ascii="Calibri" w:cs="Calibri" w:eastAsia="Calibri" w:hAnsi="Calibri"/>
          <w:color w:val="131A21"/>
          <w:sz w:val="21"/>
          <w:szCs w:val="21"/>
        </w:rPr>
        <w:t xml:space="preserve">There are no inbound firewall rules at all. Shell access is through the provider’s session manager, so there is no open port, no bastion host and no key to lose.</w:t>
      </w:r>
    </w:p>
    <w:p>
      <w:pPr>
        <w:pStyle w:val="ListParagraph"/>
        <w:numPr>
          <w:ilvl w:val="0"/>
          <w:numId w:val="2"/>
        </w:numPr>
        <w:spacing w:after="80" w:line="300"/>
      </w:pPr>
      <w:r>
        <w:rPr>
          <w:rFonts w:ascii="Calibri" w:cs="Calibri" w:eastAsia="Calibri" w:hAnsi="Calibri"/>
          <w:color w:val="131A21"/>
          <w:sz w:val="21"/>
          <w:szCs w:val="21"/>
        </w:rPr>
        <w:t xml:space="preserve">No NAT gateway. At roughly $32 a month it would cost more than every other resource combined, for a job making a handful of outbound calls a day. Recorded as a cost decision, not an oversight.</w:t>
      </w:r>
    </w:p>
    <w:p>
      <w:pPr>
        <w:pStyle w:val="ListParagraph"/>
        <w:numPr>
          <w:ilvl w:val="0"/>
          <w:numId w:val="2"/>
        </w:numPr>
        <w:spacing w:after="80" w:line="300"/>
      </w:pPr>
      <w:r>
        <w:rPr>
          <w:rFonts w:ascii="Calibri" w:cs="Calibri" w:eastAsia="Calibri" w:hAnsi="Calibri"/>
          <w:color w:val="131A21"/>
          <w:sz w:val="21"/>
          <w:szCs w:val="21"/>
        </w:rPr>
        <w:t xml:space="preserve">Deployment credentials use short-lived federated tokens rather than a stored access key, with the trust policy pinned to a single repository.</w:t>
      </w:r>
    </w:p>
    <w:p>
      <w:pPr>
        <w:pStyle w:val="Heading3"/>
        <w:spacing w:after="60" w:before="240"/>
      </w:pPr>
      <w:r>
        <w:rPr>
          <w:rFonts w:ascii="Calibri" w:cs="Calibri" w:eastAsia="Calibri" w:hAnsi="Calibri"/>
          <w:b/>
          <w:bCs/>
          <w:color w:val="24446E"/>
          <w:sz w:val="20"/>
          <w:szCs w:val="20"/>
        </w:rPr>
        <w:t xml:space="preserve">Applied, verified, destroyed</w:t>
      </w:r>
    </w:p>
    <w:p>
      <w:pPr>
        <w:spacing w:after="140" w:before="0" w:line="300"/>
      </w:pPr>
      <w:r>
        <w:rPr>
          <w:rFonts w:ascii="Calibri" w:cs="Calibri" w:eastAsia="Calibri" w:hAnsi="Calibri"/>
          <w:b w:val="false"/>
          <w:bCs w:val="false"/>
          <w:i w:val="false"/>
          <w:iCs w:val="false"/>
          <w:color w:val="131A21"/>
          <w:sz w:val="21"/>
          <w:szCs w:val="21"/>
        </w:rPr>
        <w:t xml:space="preserve">The stack was applied to a real cloud account and ran one full decision cycle — real market data, real language-model calls, a real database write — returning a successful run with a BUY decision at 0.65 confidence, triggered exactly as the schedule would trigger it. It was then destroyed the same day.</w:t>
      </w:r>
    </w:p>
    <w:p>
      <w:pPr>
        <w:spacing w:after="140" w:before="0" w:line="300"/>
      </w:pPr>
      <w:r>
        <w:rPr>
          <w:rFonts w:ascii="Calibri" w:cs="Calibri" w:eastAsia="Calibri" w:hAnsi="Calibri"/>
          <w:b w:val="false"/>
          <w:bCs w:val="false"/>
          <w:i w:val="false"/>
          <w:iCs w:val="false"/>
          <w:color w:val="131A21"/>
          <w:sz w:val="21"/>
          <w:szCs w:val="21"/>
        </w:rPr>
        <w:t xml:space="preserve">Keeping it running would cost about $13 a month to trade a strategy already measured as having no edge. Proving the deployment works is worth a few cents; running it indefinitely is not. Four of the six defects in the next section were found during that one apply and could not have been found any other way.</w:t>
      </w:r>
    </w:p>
    <w:p>
      <w:pPr>
        <w:pStyle w:val="Heading1"/>
        <w:pBdr>
          <w:bottom w:val="single" w:color="131A21" w:sz="8" w:space="6"/>
        </w:pBdr>
        <w:spacing w:after="90" w:before="460"/>
      </w:pPr>
      <w:r>
        <w:rPr>
          <w:rFonts w:ascii="Georgia" w:cs="Georgia" w:eastAsia="Georgia" w:hAnsi="Georgia"/>
          <w:b/>
          <w:bCs/>
          <w:color w:val="131A21"/>
          <w:sz w:val="30"/>
          <w:szCs w:val="30"/>
        </w:rPr>
        <w:t xml:space="preserve">13  Defects found, and what each one hid</w:t>
      </w:r>
    </w:p>
    <w:p>
      <w:pPr>
        <w:spacing w:after="140" w:before="0" w:line="300"/>
      </w:pPr>
      <w:r>
        <w:rPr>
          <w:rFonts w:ascii="Calibri" w:cs="Calibri" w:eastAsia="Calibri" w:hAnsi="Calibri"/>
          <w:b w:val="false"/>
          <w:bCs w:val="false"/>
          <w:i w:val="false"/>
          <w:iCs w:val="false"/>
          <w:color w:val="131A21"/>
          <w:sz w:val="21"/>
          <w:szCs w:val="21"/>
        </w:rPr>
        <w:t xml:space="preserve">Every entry below passed its type checks, its linting and any amount of re-reading. They are recorded because each changed a conclusion or concealed one.</w:t>
      </w:r>
    </w:p>
    <w:p>
      <w:pPr>
        <w:spacing w:after="50" w:before="170" w:line="300"/>
      </w:pPr>
      <w:r>
        <w:rPr>
          <w:rFonts w:ascii="Consolas" w:cs="Consolas" w:eastAsia="Consolas" w:hAnsi="Consolas"/>
          <w:b/>
          <w:bCs/>
          <w:i w:val="false"/>
          <w:iCs w:val="false"/>
          <w:color w:val="8A5A16"/>
          <w:sz w:val="18"/>
          <w:szCs w:val="18"/>
        </w:rPr>
        <w:t xml:space="preserve">01   </w:t>
      </w:r>
      <w:r>
        <w:rPr>
          <w:rFonts w:ascii="Calibri" w:cs="Calibri" w:eastAsia="Calibri" w:hAnsi="Calibri"/>
          <w:b/>
          <w:bCs/>
          <w:i w:val="false"/>
          <w:iCs w:val="false"/>
          <w:color w:val="131A21"/>
          <w:sz w:val="21"/>
          <w:szCs w:val="21"/>
        </w:rPr>
        <w:t xml:space="preserve">A transaction bug made every early backtest meaningless</w:t>
      </w:r>
    </w:p>
    <w:p>
      <w:pPr>
        <w:spacing w:after="60" w:before="0" w:line="300"/>
        <w:ind w:left="420"/>
      </w:pPr>
      <w:r>
        <w:rPr>
          <w:rFonts w:ascii="Calibri" w:cs="Calibri" w:eastAsia="Calibri" w:hAnsi="Calibri"/>
          <w:b w:val="false"/>
          <w:bCs w:val="false"/>
          <w:i w:val="false"/>
          <w:iCs w:val="false"/>
          <w:color w:val="414E5B"/>
          <w:sz w:val="21"/>
          <w:szCs w:val="21"/>
        </w:rPr>
        <w:t xml:space="preserve">The first insert in a backtest was not wrapped in its own transaction, so every later transaction silently downgraded to a savepoint and no day’s writes were visible to the next day’s reads. The symptom was the position cap never engaging — 25 buys against a 20-share limit. Found and fixed before any result was trusted; the affected run was discarded rather than reported.</w:t>
      </w:r>
    </w:p>
    <w:p>
      <w:pPr>
        <w:spacing w:after="50" w:before="170" w:line="300"/>
      </w:pPr>
      <w:r>
        <w:rPr>
          <w:rFonts w:ascii="Consolas" w:cs="Consolas" w:eastAsia="Consolas" w:hAnsi="Consolas"/>
          <w:b/>
          <w:bCs/>
          <w:i w:val="false"/>
          <w:iCs w:val="false"/>
          <w:color w:val="8A5A16"/>
          <w:sz w:val="18"/>
          <w:szCs w:val="18"/>
        </w:rPr>
        <w:t xml:space="preserve">02   </w:t>
      </w:r>
      <w:r>
        <w:rPr>
          <w:rFonts w:ascii="Calibri" w:cs="Calibri" w:eastAsia="Calibri" w:hAnsi="Calibri"/>
          <w:b/>
          <w:bCs/>
          <w:i w:val="false"/>
          <w:iCs w:val="false"/>
          <w:color w:val="131A21"/>
          <w:sz w:val="21"/>
          <w:szCs w:val="21"/>
        </w:rPr>
        <w:t xml:space="preserve">Six database tests silently skipped for two entire phases</w:t>
      </w:r>
    </w:p>
    <w:p>
      <w:pPr>
        <w:spacing w:after="60" w:before="0" w:line="300"/>
        <w:ind w:left="420"/>
      </w:pPr>
      <w:r>
        <w:rPr>
          <w:rFonts w:ascii="Calibri" w:cs="Calibri" w:eastAsia="Calibri" w:hAnsi="Calibri"/>
          <w:b w:val="false"/>
          <w:bCs w:val="false"/>
          <w:i w:val="false"/>
          <w:iCs w:val="false"/>
          <w:color w:val="414E5B"/>
          <w:sz w:val="21"/>
          <w:szCs w:val="21"/>
        </w:rPr>
        <w:t xml:space="preserve">On Windows, the async database driver cannot run on the default event loop. Its pool raises a timeout error which subclasses the generic operational error that the "no database available" guard catches. The suite reported green while running 33 of 39 tests. One line fixed it; continuous integration now fails on any skip.</w:t>
      </w:r>
    </w:p>
    <w:p>
      <w:pPr>
        <w:spacing w:after="50" w:before="170" w:line="300"/>
      </w:pPr>
      <w:r>
        <w:rPr>
          <w:rFonts w:ascii="Consolas" w:cs="Consolas" w:eastAsia="Consolas" w:hAnsi="Consolas"/>
          <w:b/>
          <w:bCs/>
          <w:i w:val="false"/>
          <w:iCs w:val="false"/>
          <w:color w:val="8A5A16"/>
          <w:sz w:val="18"/>
          <w:szCs w:val="18"/>
        </w:rPr>
        <w:t xml:space="preserve">03   </w:t>
      </w:r>
      <w:r>
        <w:rPr>
          <w:rFonts w:ascii="Calibri" w:cs="Calibri" w:eastAsia="Calibri" w:hAnsi="Calibri"/>
          <w:b/>
          <w:bCs/>
          <w:i w:val="false"/>
          <w:iCs w:val="false"/>
          <w:color w:val="131A21"/>
          <w:sz w:val="21"/>
          <w:szCs w:val="21"/>
        </w:rPr>
        <w:t xml:space="preserve">A buy-and-hold baseline taken from the wrong window</w:t>
      </w:r>
    </w:p>
    <w:p>
      <w:pPr>
        <w:spacing w:after="60" w:before="0" w:line="300"/>
        <w:ind w:left="420"/>
      </w:pPr>
      <w:r>
        <w:rPr>
          <w:rFonts w:ascii="Calibri" w:cs="Calibri" w:eastAsia="Calibri" w:hAnsi="Calibri"/>
          <w:b w:val="false"/>
          <w:bCs w:val="false"/>
          <w:i w:val="false"/>
          <w:iCs w:val="false"/>
          <w:color w:val="414E5B"/>
          <w:sz w:val="21"/>
          <w:szCs w:val="21"/>
        </w:rPr>
        <w:t xml:space="preserve">Two runs differing by two trading days were compared against a single baseline, moving the reference by $66.80 and turning "matched buy-and-hold" into "$41 to $74 below it". The comparison tool had printed each window all along.</w:t>
      </w:r>
    </w:p>
    <w:p>
      <w:pPr>
        <w:spacing w:after="50" w:before="170" w:line="300"/>
      </w:pPr>
      <w:r>
        <w:rPr>
          <w:rFonts w:ascii="Consolas" w:cs="Consolas" w:eastAsia="Consolas" w:hAnsi="Consolas"/>
          <w:b/>
          <w:bCs/>
          <w:i w:val="false"/>
          <w:iCs w:val="false"/>
          <w:color w:val="8A5A16"/>
          <w:sz w:val="18"/>
          <w:szCs w:val="18"/>
        </w:rPr>
        <w:t xml:space="preserve">04   </w:t>
      </w:r>
      <w:r>
        <w:rPr>
          <w:rFonts w:ascii="Calibri" w:cs="Calibri" w:eastAsia="Calibri" w:hAnsi="Calibri"/>
          <w:b/>
          <w:bCs/>
          <w:i w:val="false"/>
          <w:iCs w:val="false"/>
          <w:color w:val="131A21"/>
          <w:sz w:val="21"/>
          <w:szCs w:val="21"/>
        </w:rPr>
        <w:t xml:space="preserve">A database URL pointing at the loopback address</w:t>
      </w:r>
    </w:p>
    <w:p>
      <w:pPr>
        <w:spacing w:after="60" w:before="0" w:line="300"/>
        <w:ind w:left="420"/>
      </w:pPr>
      <w:r>
        <w:rPr>
          <w:rFonts w:ascii="Calibri" w:cs="Calibri" w:eastAsia="Calibri" w:hAnsi="Calibri"/>
          <w:b w:val="false"/>
          <w:bCs w:val="false"/>
          <w:i w:val="false"/>
          <w:iCs w:val="false"/>
          <w:color w:val="414E5B"/>
          <w:sz w:val="21"/>
          <w:szCs w:val="21"/>
        </w:rPr>
        <w:t xml:space="preserve">Correct for a process on the host, wrong inside a container where that address is the container’s own loopback rather than the host’s. Migrations failed with "connection refused" while the database container showed as healthy — both facts true simultaneously, which is what made it confusing.</w:t>
      </w:r>
    </w:p>
    <w:p>
      <w:pPr>
        <w:spacing w:after="50" w:before="170" w:line="300"/>
      </w:pPr>
      <w:r>
        <w:rPr>
          <w:rFonts w:ascii="Consolas" w:cs="Consolas" w:eastAsia="Consolas" w:hAnsi="Consolas"/>
          <w:b/>
          <w:bCs/>
          <w:i w:val="false"/>
          <w:iCs w:val="false"/>
          <w:color w:val="8A5A16"/>
          <w:sz w:val="18"/>
          <w:szCs w:val="18"/>
        </w:rPr>
        <w:t xml:space="preserve">05   </w:t>
      </w:r>
      <w:r>
        <w:rPr>
          <w:rFonts w:ascii="Calibri" w:cs="Calibri" w:eastAsia="Calibri" w:hAnsi="Calibri"/>
          <w:b/>
          <w:bCs/>
          <w:i w:val="false"/>
          <w:iCs w:val="false"/>
          <w:color w:val="131A21"/>
          <w:sz w:val="21"/>
          <w:szCs w:val="21"/>
        </w:rPr>
        <w:t xml:space="preserve">An image lookup that churned the server on every plan</w:t>
      </w:r>
    </w:p>
    <w:p>
      <w:pPr>
        <w:spacing w:after="60" w:before="0" w:line="300"/>
        <w:ind w:left="420"/>
      </w:pPr>
      <w:r>
        <w:rPr>
          <w:rFonts w:ascii="Calibri" w:cs="Calibri" w:eastAsia="Calibri" w:hAnsi="Calibri"/>
          <w:b w:val="false"/>
          <w:bCs w:val="false"/>
          <w:i w:val="false"/>
          <w:iCs w:val="false"/>
          <w:color w:val="414E5B"/>
          <w:sz w:val="21"/>
          <w:szCs w:val="21"/>
        </w:rPr>
        <w:t xml:space="preserve">Resolving "most recent image" meant a newly published operating-system image made the infrastructure tool propose destroying and recreating a running instance for no reason anyone had asked for. A plan you cannot trust is a plan you stop reading.</w:t>
      </w:r>
    </w:p>
    <w:p>
      <w:pPr>
        <w:spacing w:after="50" w:before="170" w:line="300"/>
      </w:pPr>
      <w:r>
        <w:rPr>
          <w:rFonts w:ascii="Consolas" w:cs="Consolas" w:eastAsia="Consolas" w:hAnsi="Consolas"/>
          <w:b/>
          <w:bCs/>
          <w:i w:val="false"/>
          <w:iCs w:val="false"/>
          <w:color w:val="8A5A16"/>
          <w:sz w:val="18"/>
          <w:szCs w:val="18"/>
        </w:rPr>
        <w:t xml:space="preserve">06   </w:t>
      </w:r>
      <w:r>
        <w:rPr>
          <w:rFonts w:ascii="Calibri" w:cs="Calibri" w:eastAsia="Calibri" w:hAnsi="Calibri"/>
          <w:b/>
          <w:bCs/>
          <w:i w:val="false"/>
          <w:iCs w:val="false"/>
          <w:color w:val="131A21"/>
          <w:sz w:val="21"/>
          <w:szCs w:val="21"/>
        </w:rPr>
        <w:t xml:space="preserve">A federated-identity claim carrying numeric identifiers</w:t>
      </w:r>
    </w:p>
    <w:p>
      <w:pPr>
        <w:spacing w:after="60" w:before="0" w:line="300"/>
        <w:ind w:left="420"/>
      </w:pPr>
      <w:r>
        <w:rPr>
          <w:rFonts w:ascii="Calibri" w:cs="Calibri" w:eastAsia="Calibri" w:hAnsi="Calibri"/>
          <w:b w:val="false"/>
          <w:bCs w:val="false"/>
          <w:i w:val="false"/>
          <w:iCs w:val="false"/>
          <w:color w:val="414E5B"/>
          <w:sz w:val="21"/>
          <w:szCs w:val="21"/>
        </w:rPr>
        <w:t xml:space="preserve">The documented subject format is owner-slash-repository; the real one appends immutable account and repository identifiers. A trust policy written against the documented form never matches, and the cloud provider returns only "not authorized" — uninformative by design, since naming the failed condition would let an attacker probe the policy. The audit log carries the actual claim and is the intended debugging path.</w:t>
      </w:r>
    </w:p>
    <w:p>
      <w:pPr>
        <w:spacing w:after="50" w:before="170" w:line="300"/>
      </w:pPr>
      <w:r>
        <w:rPr>
          <w:rFonts w:ascii="Consolas" w:cs="Consolas" w:eastAsia="Consolas" w:hAnsi="Consolas"/>
          <w:b/>
          <w:bCs/>
          <w:i w:val="false"/>
          <w:iCs w:val="false"/>
          <w:color w:val="8A5A16"/>
          <w:sz w:val="18"/>
          <w:szCs w:val="18"/>
        </w:rPr>
        <w:t xml:space="preserve">07   </w:t>
      </w:r>
      <w:r>
        <w:rPr>
          <w:rFonts w:ascii="Calibri" w:cs="Calibri" w:eastAsia="Calibri" w:hAnsi="Calibri"/>
          <w:b/>
          <w:bCs/>
          <w:i w:val="false"/>
          <w:iCs w:val="false"/>
          <w:color w:val="131A21"/>
          <w:sz w:val="21"/>
          <w:szCs w:val="21"/>
        </w:rPr>
        <w:t xml:space="preserve">A statistical threshold below the resolving power of its own test</w:t>
      </w:r>
    </w:p>
    <w:p>
      <w:pPr>
        <w:spacing w:after="60" w:before="0" w:line="300"/>
        <w:ind w:left="420"/>
      </w:pPr>
      <w:r>
        <w:rPr>
          <w:rFonts w:ascii="Calibri" w:cs="Calibri" w:eastAsia="Calibri" w:hAnsi="Calibri"/>
          <w:b w:val="false"/>
          <w:bCs w:val="false"/>
          <w:i w:val="false"/>
          <w:iCs w:val="false"/>
          <w:color w:val="414E5B"/>
          <w:sz w:val="21"/>
          <w:szCs w:val="21"/>
        </w:rPr>
        <w:t xml:space="preserve">The pre-registered bar for the fine-tuned model sat at approximately one standard error of the validation split chosen to judge it. The split could not have distinguished the threshold from zero whichever way the result landed. Covered in full in section 9.10.</w:t>
      </w:r>
    </w:p>
    <w:p>
      <w:pPr>
        <w:spacing w:after="160"/>
      </w:pPr>
    </w:p>
    <w:p>
      <w:pPr>
        <w:spacing w:after="140" w:before="0" w:line="300"/>
      </w:pPr>
      <w:r>
        <w:rPr>
          <w:rFonts w:ascii="Calibri" w:cs="Calibri" w:eastAsia="Calibri" w:hAnsi="Calibri"/>
          <w:b w:val="false"/>
          <w:bCs w:val="false"/>
          <w:i w:val="false"/>
          <w:iCs w:val="false"/>
          <w:color w:val="131A21"/>
          <w:sz w:val="21"/>
          <w:szCs w:val="21"/>
        </w:rPr>
        <w:t xml:space="preserve">Four of the seven were found only by running the system for real — against a live database, a live cloud account, or a live identity provider. That is the argument for spending a few cents on an actual deployment rather than leaving validated infrastructure code as the deliverable.</w:t>
      </w:r>
    </w:p>
    <w:p>
      <w:pPr>
        <w:pStyle w:val="Heading1"/>
        <w:pBdr>
          <w:bottom w:val="single" w:color="131A21" w:sz="8" w:space="6"/>
        </w:pBdr>
        <w:spacing w:after="90" w:before="460"/>
      </w:pPr>
      <w:r>
        <w:rPr>
          <w:rFonts w:ascii="Georgia" w:cs="Georgia" w:eastAsia="Georgia" w:hAnsi="Georgia"/>
          <w:b/>
          <w:bCs/>
          <w:color w:val="131A21"/>
          <w:sz w:val="30"/>
          <w:szCs w:val="30"/>
        </w:rPr>
        <w:t xml:space="preserve">14  Engineering practices</w:t>
      </w:r>
    </w:p>
    <w:p>
      <w:pPr>
        <w:spacing w:after="140" w:before="0" w:line="300"/>
      </w:pPr>
      <w:r>
        <w:rPr>
          <w:rFonts w:ascii="Calibri" w:cs="Calibri" w:eastAsia="Calibri" w:hAnsi="Calibri"/>
          <w:b w:val="false"/>
          <w:bCs w:val="false"/>
          <w:i w:val="false"/>
          <w:iCs w:val="false"/>
          <w:color w:val="131A21"/>
          <w:sz w:val="21"/>
          <w:szCs w:val="21"/>
        </w:rPr>
        <w:t xml:space="preserve">The practices below were adopted in response to specific failures in this project, not imported from a checklist. Each is traceable to the mistake that produced it.</w:t>
      </w: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3400"/>
        <w:gridCol w:w="5626"/>
      </w:tblGrid>
      <w:tr>
        <w:trPr>
          <w:tblHeader/>
        </w:trPr>
        <w:tc>
          <w:tcPr>
            <w:tcW w:type="dxa" w:w="34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left"/>
            </w:pPr>
            <w:r>
              <w:rPr>
                <w:rFonts w:ascii="Calibri" w:cs="Calibri" w:eastAsia="Calibri" w:hAnsi="Calibri"/>
                <w:b/>
                <w:bCs/>
                <w:color w:val="6B7784"/>
                <w:sz w:val="16"/>
                <w:szCs w:val="16"/>
              </w:rPr>
              <w:t xml:space="preserve">Practice</w:t>
            </w:r>
          </w:p>
        </w:tc>
        <w:tc>
          <w:tcPr>
            <w:tcW w:type="dxa" w:w="5626"/>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The failure that produced it</w:t>
            </w:r>
          </w:p>
        </w:tc>
      </w:tr>
      <w:tr>
        <w:tc>
          <w:tcPr>
            <w:tcW w:type="dxa" w:w="34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Compare every accuracy figure to the majority-class baseline</w:t>
            </w:r>
          </w:p>
        </w:tc>
        <w:tc>
          <w:tcPr>
            <w:tcW w:type="dxa" w:w="56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Two adapters scored 84.0% and 90.9% and were both at or below a do-nothing baseline nobody had computed.</w:t>
            </w:r>
          </w:p>
        </w:tc>
      </w:tr>
      <w:tr>
        <w:tc>
          <w:tcPr>
            <w:tcW w:type="dxa" w:w="34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Check label distribution before training</w:t>
            </w:r>
          </w:p>
        </w:tc>
        <w:tc>
          <w:tcPr>
            <w:tcW w:type="dxa" w:w="56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Two rounds of hyperparameter work bought nothing; one database query explained both failures immediately.</w:t>
            </w:r>
          </w:p>
        </w:tc>
      </w:tr>
      <w:tr>
        <w:tc>
          <w:tcPr>
            <w:tcW w:type="dxa" w:w="34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Ablate a component before investing in improving it</w:t>
            </w:r>
          </w:p>
        </w:tc>
        <w:tc>
          <w:tcPr>
            <w:tcW w:type="dxa" w:w="56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About 6,000 labelling calls were about to be spent improving a node that, when removed, improved the system.</w:t>
            </w:r>
          </w:p>
        </w:tc>
      </w:tr>
      <w:tr>
        <w:tc>
          <w:tcPr>
            <w:tcW w:type="dxa" w:w="34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Measure the noise floor in the same exercise</w:t>
            </w:r>
          </w:p>
        </w:tc>
        <w:tc>
          <w:tcPr>
            <w:tcW w:type="dxa" w:w="56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Running two replicates per configuration is what made a 60-point gap readable as signal rather than variance.</w:t>
            </w:r>
          </w:p>
        </w:tc>
      </w:tr>
      <w:tr>
        <w:tc>
          <w:tcPr>
            <w:tcW w:type="dxa" w:w="34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Mark to market before comparing to any baseline</w:t>
            </w:r>
          </w:p>
        </w:tc>
        <w:tc>
          <w:tcPr>
            <w:tcW w:type="dxa" w:w="56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Realized P&amp;L alone flattered one run and unfairly damned another, both times through open lots.</w:t>
            </w:r>
          </w:p>
        </w:tc>
      </w:tr>
      <w:tr>
        <w:tc>
          <w:tcPr>
            <w:tcW w:type="dxa" w:w="34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Assert two runs share a window before comparing them</w:t>
            </w:r>
          </w:p>
        </w:tc>
        <w:tc>
          <w:tcPr>
            <w:tcW w:type="dxa" w:w="56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A two-day difference moved the baseline by $66.80 and produced a published conclusion that was wrong.</w:t>
            </w:r>
          </w:p>
        </w:tc>
      </w:tr>
      <w:tr>
        <w:tc>
          <w:tcPr>
            <w:tcW w:type="dxa" w:w="34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Pre-register the success threshold, and check it is resolvable</w:t>
            </w:r>
          </w:p>
        </w:tc>
        <w:tc>
          <w:tcPr>
            <w:tcW w:type="dxa" w:w="56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A bar was set at one standard error of the split chosen to test it — untestable either way.</w:t>
            </w:r>
          </w:p>
        </w:tc>
      </w:tr>
      <w:tr>
        <w:tc>
          <w:tcPr>
            <w:tcW w:type="dxa" w:w="34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Fail loudly rather than skip quietly</w:t>
            </w:r>
          </w:p>
        </w:tc>
        <w:tc>
          <w:tcPr>
            <w:tcW w:type="dxa" w:w="56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Six tests reported green while never running, for two phases.</w:t>
            </w:r>
          </w:p>
        </w:tc>
      </w:tr>
      <w:tr>
        <w:tc>
          <w:tcPr>
            <w:tcW w:type="dxa" w:w="34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Replay recorded decisions before paying for new runs</w:t>
            </w:r>
          </w:p>
        </w:tc>
        <w:tc>
          <w:tcPr>
            <w:tcW w:type="dxa" w:w="56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A standing hypothesis about risk rules was killed for free, using data already on disk.</w:t>
            </w:r>
          </w:p>
        </w:tc>
      </w:tr>
    </w:tbl>
    <w:p>
      <w:pPr>
        <w:pStyle w:val="Heading1"/>
        <w:pBdr>
          <w:bottom w:val="single" w:color="131A21" w:sz="8" w:space="6"/>
        </w:pBdr>
        <w:spacing w:after="90" w:before="460"/>
      </w:pPr>
      <w:r>
        <w:rPr>
          <w:rFonts w:ascii="Georgia" w:cs="Georgia" w:eastAsia="Georgia" w:hAnsi="Georgia"/>
          <w:b/>
          <w:bCs/>
          <w:color w:val="131A21"/>
          <w:sz w:val="30"/>
          <w:szCs w:val="30"/>
        </w:rPr>
        <w:t xml:space="preserve">15  Limitations</w:t>
      </w:r>
    </w:p>
    <w:p>
      <w:pPr>
        <w:pStyle w:val="ListParagraph"/>
        <w:numPr>
          <w:ilvl w:val="0"/>
          <w:numId w:val="2"/>
        </w:numPr>
        <w:spacing w:after="80" w:line="300"/>
      </w:pPr>
      <w:r>
        <w:rPr>
          <w:rFonts w:ascii="Calibri" w:cs="Calibri" w:eastAsia="Calibri" w:hAnsi="Calibri"/>
          <w:color w:val="131A21"/>
          <w:sz w:val="21"/>
          <w:szCs w:val="21"/>
        </w:rPr>
        <w:t xml:space="preserve">One symbol. Every backtest is AAPL. Whether "no edge" is a property of the strategy or of one stock in one period is untested, though 108 symbols with continuous coverage are now available to test it.</w:t>
      </w:r>
    </w:p>
    <w:p>
      <w:pPr>
        <w:pStyle w:val="ListParagraph"/>
        <w:numPr>
          <w:ilvl w:val="0"/>
          <w:numId w:val="2"/>
        </w:numPr>
        <w:spacing w:after="80" w:line="300"/>
      </w:pPr>
      <w:r>
        <w:rPr>
          <w:rFonts w:ascii="Calibri" w:cs="Calibri" w:eastAsia="Calibri" w:hAnsi="Calibri"/>
          <w:color w:val="131A21"/>
          <w:sz w:val="21"/>
          <w:szCs w:val="21"/>
        </w:rPr>
        <w:t xml:space="preserve">One market regime. Nineteen months spanning a decline and a recovery is not a range of conditions.</w:t>
      </w:r>
    </w:p>
    <w:p>
      <w:pPr>
        <w:pStyle w:val="ListParagraph"/>
        <w:numPr>
          <w:ilvl w:val="0"/>
          <w:numId w:val="2"/>
        </w:numPr>
        <w:spacing w:after="80" w:line="300"/>
      </w:pPr>
      <w:r>
        <w:rPr>
          <w:rFonts w:ascii="Calibri" w:cs="Calibri" w:eastAsia="Calibri" w:hAnsi="Calibri"/>
          <w:color w:val="131A21"/>
          <w:sz w:val="21"/>
          <w:szCs w:val="21"/>
        </w:rPr>
        <w:t xml:space="preserve">Daily bars only. No intraday data, no order-book information, no volume analysis beyond what the indicators use.</w:t>
      </w:r>
    </w:p>
    <w:p>
      <w:pPr>
        <w:pStyle w:val="ListParagraph"/>
        <w:numPr>
          <w:ilvl w:val="0"/>
          <w:numId w:val="2"/>
        </w:numPr>
        <w:spacing w:after="80" w:line="300"/>
      </w:pPr>
      <w:r>
        <w:rPr>
          <w:rFonts w:ascii="Calibri" w:cs="Calibri" w:eastAsia="Calibri" w:hAnsi="Calibri"/>
          <w:color w:val="131A21"/>
          <w:sz w:val="21"/>
          <w:szCs w:val="21"/>
        </w:rPr>
        <w:t xml:space="preserve">A single five-day horizon in the return-prediction work. Shorter and longer horizons were not tried.</w:t>
      </w:r>
    </w:p>
    <w:p>
      <w:pPr>
        <w:pStyle w:val="ListParagraph"/>
        <w:numPr>
          <w:ilvl w:val="0"/>
          <w:numId w:val="2"/>
        </w:numPr>
        <w:spacing w:after="80" w:line="300"/>
      </w:pPr>
      <w:r>
        <w:rPr>
          <w:rFonts w:ascii="Calibri" w:cs="Calibri" w:eastAsia="Calibri" w:hAnsi="Calibri"/>
          <w:color w:val="131A21"/>
          <w:sz w:val="21"/>
          <w:szCs w:val="21"/>
        </w:rPr>
        <w:t xml:space="preserve">Two language models, both from one provider, at fixed temperature. Model choice was not itself evaluated.</w:t>
      </w:r>
    </w:p>
    <w:p>
      <w:pPr>
        <w:pStyle w:val="ListParagraph"/>
        <w:numPr>
          <w:ilvl w:val="0"/>
          <w:numId w:val="2"/>
        </w:numPr>
        <w:spacing w:after="80" w:line="300"/>
      </w:pPr>
      <w:r>
        <w:rPr>
          <w:rFonts w:ascii="Calibri" w:cs="Calibri" w:eastAsia="Calibri" w:hAnsi="Calibri"/>
          <w:color w:val="131A21"/>
          <w:sz w:val="21"/>
          <w:szCs w:val="21"/>
        </w:rPr>
        <w:t xml:space="preserve">Small samples throughout. Two replicates per ablation configuration; 32 or fewer closed trades in most backtests. Directional conclusions, not statistically strong ones — stated as such wherever they appear.</w:t>
      </w:r>
    </w:p>
    <w:p>
      <w:pPr>
        <w:pStyle w:val="ListParagraph"/>
        <w:numPr>
          <w:ilvl w:val="0"/>
          <w:numId w:val="2"/>
        </w:numPr>
        <w:spacing w:after="80" w:line="300"/>
      </w:pPr>
      <w:r>
        <w:rPr>
          <w:rFonts w:ascii="Calibri" w:cs="Calibri" w:eastAsia="Calibri" w:hAnsi="Calibri"/>
          <w:color w:val="131A21"/>
          <w:sz w:val="21"/>
          <w:szCs w:val="21"/>
        </w:rPr>
        <w:t xml:space="preserve">Terraform state kept locally, which is adequate for one operator and would need remote encrypted storage before a second.</w:t>
      </w:r>
    </w:p>
    <w:p>
      <w:pPr>
        <w:pStyle w:val="Heading1"/>
        <w:pBdr>
          <w:bottom w:val="single" w:color="131A21" w:sz="8" w:space="6"/>
        </w:pBdr>
        <w:spacing w:after="90" w:before="460"/>
      </w:pPr>
      <w:r>
        <w:rPr>
          <w:rFonts w:ascii="Georgia" w:cs="Georgia" w:eastAsia="Georgia" w:hAnsi="Georgia"/>
          <w:b/>
          <w:bCs/>
          <w:color w:val="131A21"/>
          <w:sz w:val="30"/>
          <w:szCs w:val="30"/>
        </w:rPr>
        <w:t xml:space="preserve">16  What this demonstrates</w:t>
      </w:r>
    </w:p>
    <w:p>
      <w:pPr>
        <w:spacing w:after="140" w:before="0" w:line="300"/>
      </w:pPr>
      <w:r>
        <w:rPr>
          <w:rFonts w:ascii="Calibri" w:cs="Calibri" w:eastAsia="Calibri" w:hAnsi="Calibri"/>
          <w:b w:val="false"/>
          <w:bCs w:val="false"/>
          <w:i w:val="false"/>
          <w:iCs w:val="false"/>
          <w:color w:val="131A21"/>
          <w:sz w:val="21"/>
          <w:szCs w:val="21"/>
        </w:rPr>
        <w:t xml:space="preserve">Technically: a working FastAPI service over PostgreSQL with hand-written SQL and a purpose-built migration runner; a four-node LangGraph agent where each node’s model choice is justified by whether judgment is required; QLoRA fine-tuning end to end across classification, distillation from a teacher model, and regression on a 41,000-example dataset built from scratch with leak-free splits; containerisation, continuous integration against a live database, and infrastructure-as-code applied to a real cloud account and verified with a live run.</w:t>
      </w:r>
    </w:p>
    <w:p>
      <w:pPr>
        <w:spacing w:after="140" w:before="0" w:line="300"/>
      </w:pPr>
      <w:r>
        <w:rPr>
          <w:rFonts w:ascii="Calibri" w:cs="Calibri" w:eastAsia="Calibri" w:hAnsi="Calibri"/>
          <w:b w:val="false"/>
          <w:bCs w:val="false"/>
          <w:i w:val="false"/>
          <w:iCs w:val="false"/>
          <w:color w:val="131A21"/>
          <w:sz w:val="21"/>
          <w:szCs w:val="21"/>
        </w:rPr>
        <w:t xml:space="preserve">More usefully, it demonstrates an evaluation discipline. Out-of-sample runs executed once and never re-tuned. Accuracy figures checked against trivial baselines before being believed. Components ablated before being improved. Noise floors measured rather than assumed. A confound named in the writeup instead of smoothed over. And a flaw in the project’s own pre-registration reported rather than quietly replaced by the split that happened to agree.</w:t>
      </w:r>
    </w:p>
    <w:p>
      <w:pPr>
        <w:spacing w:after="140" w:before="0" w:line="300"/>
      </w:pPr>
      <w:r>
        <w:rPr>
          <w:rFonts w:ascii="Calibri" w:cs="Calibri" w:eastAsia="Calibri" w:hAnsi="Calibri"/>
          <w:b w:val="false"/>
          <w:bCs w:val="false"/>
          <w:i w:val="false"/>
          <w:iCs w:val="false"/>
          <w:color w:val="131A21"/>
          <w:sz w:val="21"/>
          <w:szCs w:val="21"/>
        </w:rPr>
        <w:t xml:space="preserve">It does not demonstrate a profitable trading strategy, and nothing in this report constitutes financial advice or an investment recommendation. The system never touched real capital. Its own conclusion is that it should not.</w:t>
      </w:r>
    </w:p>
    <w:p>
      <w:pPr>
        <w:pStyle w:val="Heading1"/>
        <w:pBdr>
          <w:bottom w:val="single" w:color="131A21" w:sz="8" w:space="6"/>
        </w:pBdr>
        <w:spacing w:after="90" w:before="460"/>
      </w:pPr>
      <w:r>
        <w:rPr>
          <w:rFonts w:ascii="Georgia" w:cs="Georgia" w:eastAsia="Georgia" w:hAnsi="Georgia"/>
          <w:b/>
          <w:bCs/>
          <w:color w:val="131A21"/>
          <w:sz w:val="30"/>
          <w:szCs w:val="30"/>
        </w:rPr>
        <w:t xml:space="preserve">17  Open questions</w:t>
      </w:r>
    </w:p>
    <w:p>
      <w:pPr>
        <w:pStyle w:val="ListParagraph"/>
        <w:numPr>
          <w:ilvl w:val="0"/>
          <w:numId w:val="2"/>
        </w:numPr>
        <w:spacing w:after="80" w:line="300"/>
      </w:pPr>
      <w:r>
        <w:rPr>
          <w:rFonts w:ascii="Calibri" w:cs="Calibri" w:eastAsia="Calibri" w:hAnsi="Calibri"/>
          <w:color w:val="131A21"/>
          <w:sz w:val="21"/>
          <w:szCs w:val="21"/>
        </w:rPr>
        <w:t xml:space="preserve">One further ablation, costing under a dollar, would separate the continuous-score node’s effect from the simultaneous Portfolio Manager prompt change.</w:t>
      </w:r>
    </w:p>
    <w:p>
      <w:pPr>
        <w:pStyle w:val="ListParagraph"/>
        <w:numPr>
          <w:ilvl w:val="0"/>
          <w:numId w:val="2"/>
        </w:numPr>
        <w:spacing w:after="80" w:line="300"/>
      </w:pPr>
      <w:r>
        <w:rPr>
          <w:rFonts w:ascii="Calibri" w:cs="Calibri" w:eastAsia="Calibri" w:hAnsi="Calibri"/>
          <w:color w:val="131A21"/>
          <w:sz w:val="21"/>
          <w:szCs w:val="21"/>
        </w:rPr>
        <w:t xml:space="preserve">A second symbol would test whether the negative verdict is about the strategy or about AAPL. The headline data for 108 candidates is already prepared.</w:t>
      </w:r>
    </w:p>
    <w:p>
      <w:pPr>
        <w:pStyle w:val="ListParagraph"/>
        <w:numPr>
          <w:ilvl w:val="0"/>
          <w:numId w:val="2"/>
        </w:numPr>
        <w:spacing w:after="80" w:line="300"/>
      </w:pPr>
      <w:r>
        <w:rPr>
          <w:rFonts w:ascii="Calibri" w:cs="Calibri" w:eastAsia="Calibri" w:hAnsi="Calibri"/>
          <w:color w:val="131A21"/>
          <w:sz w:val="21"/>
          <w:szCs w:val="21"/>
        </w:rPr>
        <w:t xml:space="preserve">The evidence says remove the Sentiment Analyst from the graph. No run has tested removing it entirely — the ablation replaced its content while keeping the node — so acting on that would create another unmeasured configuration.</w:t>
      </w:r>
    </w:p>
    <w:p>
      <w:pPr>
        <w:pStyle w:val="ListParagraph"/>
        <w:numPr>
          <w:ilvl w:val="0"/>
          <w:numId w:val="2"/>
        </w:numPr>
        <w:spacing w:after="80" w:line="300"/>
      </w:pPr>
      <w:r>
        <w:rPr>
          <w:rFonts w:ascii="Calibri" w:cs="Calibri" w:eastAsia="Calibri" w:hAnsi="Calibri"/>
          <w:color w:val="131A21"/>
          <w:sz w:val="21"/>
          <w:szCs w:val="21"/>
        </w:rPr>
        <w:t xml:space="preserve">Holding out thirty symbols rather than fifteen would make the strict validation split adequately powered for the threshold it was meant to test.</w:t>
      </w:r>
    </w:p>
    <w:p>
      <w:pPr>
        <w:pStyle w:val="ListParagraph"/>
        <w:numPr>
          <w:ilvl w:val="0"/>
          <w:numId w:val="2"/>
        </w:numPr>
        <w:spacing w:after="80" w:line="300"/>
      </w:pPr>
      <w:r>
        <w:rPr>
          <w:rFonts w:ascii="Calibri" w:cs="Calibri" w:eastAsia="Calibri" w:hAnsi="Calibri"/>
          <w:color w:val="131A21"/>
          <w:sz w:val="21"/>
          <w:szCs w:val="21"/>
        </w:rPr>
        <w:t xml:space="preserve">Whether a drawdown rule helps at all remains genuinely open: the replay found small in-sample improvements that were threshold-sensitive, which is the signature of fitting rather than discovery.</w:t>
      </w:r>
    </w:p>
    <w:p>
      <w:r>
        <w:br w:type="page"/>
      </w:r>
    </w:p>
    <w:p>
      <w:pPr>
        <w:pStyle w:val="Heading1"/>
        <w:pBdr>
          <w:bottom w:val="single" w:color="131A21" w:sz="8" w:space="6"/>
        </w:pBdr>
        <w:spacing w:after="90" w:before="460"/>
      </w:pPr>
      <w:r>
        <w:rPr>
          <w:rFonts w:ascii="Georgia" w:cs="Georgia" w:eastAsia="Georgia" w:hAnsi="Georgia"/>
          <w:b/>
          <w:bCs/>
          <w:color w:val="131A21"/>
          <w:sz w:val="30"/>
          <w:szCs w:val="30"/>
        </w:rPr>
        <w:t xml:space="preserve">Appendix A  Repository layout</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F2F4F7" w:color="auto" w:val="clear"/>
            <w:tcMar>
              <w:top w:type="dxa" w:w="150"/>
              <w:left w:type="dxa" w:w="200"/>
              <w:bottom w:type="dxa" w:w="150"/>
              <w:right w:type="dxa" w:w="200"/>
            </w:tcMar>
          </w:tcPr>
          <w:p>
            <w:pPr>
              <w:spacing w:after="0" w:line="250"/>
            </w:pPr>
            <w:r>
              <w:rPr>
                <w:rFonts w:ascii="Consolas" w:cs="Consolas" w:eastAsia="Consolas" w:hAnsi="Consolas"/>
                <w:color w:val="131A21"/>
                <w:sz w:val="17"/>
                <w:szCs w:val="17"/>
              </w:rPr>
              <w:t xml:space="preserve">app/</w:t>
            </w:r>
          </w:p>
          <w:p>
            <w:pPr>
              <w:spacing w:after="0" w:line="250"/>
            </w:pPr>
            <w:r>
              <w:rPr>
                <w:rFonts w:ascii="Consolas" w:cs="Consolas" w:eastAsia="Consolas" w:hAnsi="Consolas"/>
                <w:color w:val="131A21"/>
                <w:sz w:val="17"/>
                <w:szCs w:val="17"/>
              </w:rPr>
              <w:t xml:space="preserve">  agent/         four nodes, the graph, data sources, backtest runner</w:t>
            </w:r>
          </w:p>
          <w:p>
            <w:pPr>
              <w:spacing w:after="0" w:line="250"/>
            </w:pPr>
            <w:r>
              <w:rPr>
                <w:rFonts w:ascii="Consolas" w:cs="Consolas" w:eastAsia="Consolas" w:hAnsi="Consolas"/>
                <w:color w:val="131A21"/>
                <w:sz w:val="17"/>
                <w:szCs w:val="17"/>
              </w:rPr>
              <w:t xml:space="preserve">  repository/    protocol plus in-memory, Postgres and backtest impls</w:t>
            </w:r>
          </w:p>
          <w:p>
            <w:pPr>
              <w:spacing w:after="0" w:line="250"/>
            </w:pPr>
            <w:r>
              <w:rPr>
                <w:rFonts w:ascii="Consolas" w:cs="Consolas" w:eastAsia="Consolas" w:hAnsi="Consolas"/>
                <w:color w:val="131A21"/>
                <w:sz w:val="17"/>
                <w:szCs w:val="17"/>
              </w:rPr>
              <w:t xml:space="preserve">  routers/       FastAPI endpoints</w:t>
            </w:r>
          </w:p>
          <w:p>
            <w:pPr>
              <w:spacing w:after="0" w:line="250"/>
            </w:pPr>
            <w:r>
              <w:rPr>
                <w:rFonts w:ascii="Consolas" w:cs="Consolas" w:eastAsia="Consolas" w:hAnsi="Consolas"/>
                <w:color w:val="131A21"/>
                <w:sz w:val="17"/>
                <w:szCs w:val="17"/>
              </w:rPr>
              <w:t xml:space="preserve">db/</w:t>
            </w:r>
          </w:p>
          <w:p>
            <w:pPr>
              <w:spacing w:after="0" w:line="250"/>
            </w:pPr>
            <w:r>
              <w:rPr>
                <w:rFonts w:ascii="Consolas" w:cs="Consolas" w:eastAsia="Consolas" w:hAnsi="Consolas"/>
                <w:color w:val="131A21"/>
                <w:sz w:val="17"/>
                <w:szCs w:val="17"/>
              </w:rPr>
              <w:t xml:space="preserve">  migrations/    numbered .sql files</w:t>
            </w:r>
          </w:p>
          <w:p>
            <w:pPr>
              <w:spacing w:after="0" w:line="250"/>
            </w:pPr>
            <w:r>
              <w:rPr>
                <w:rFonts w:ascii="Consolas" w:cs="Consolas" w:eastAsia="Consolas" w:hAnsi="Consolas"/>
                <w:color w:val="131A21"/>
                <w:sz w:val="17"/>
                <w:szCs w:val="17"/>
              </w:rPr>
              <w:t xml:space="preserve">  migrate.py     the entire migration framework</w:t>
            </w:r>
          </w:p>
          <w:p>
            <w:pPr>
              <w:spacing w:after="0" w:line="250"/>
            </w:pPr>
            <w:r>
              <w:rPr>
                <w:rFonts w:ascii="Consolas" w:cs="Consolas" w:eastAsia="Consolas" w:hAnsi="Consolas"/>
                <w:color w:val="131A21"/>
                <w:sz w:val="17"/>
                <w:szCs w:val="17"/>
              </w:rPr>
              <w:t xml:space="preserve">  bootstrap.py   migrations plus seed, idempotent, for containers</w:t>
            </w:r>
          </w:p>
          <w:p>
            <w:pPr>
              <w:spacing w:after="0" w:line="250"/>
            </w:pPr>
            <w:r>
              <w:rPr>
                <w:rFonts w:ascii="Consolas" w:cs="Consolas" w:eastAsia="Consolas" w:hAnsi="Consolas"/>
                <w:color w:val="131A21"/>
                <w:sz w:val="17"/>
                <w:szCs w:val="17"/>
              </w:rPr>
              <w:t xml:space="preserve">infra/           Terraform for the scheduled deployment</w:t>
            </w:r>
          </w:p>
          <w:p>
            <w:pPr>
              <w:spacing w:after="0" w:line="250"/>
            </w:pPr>
            <w:r>
              <w:rPr>
                <w:rFonts w:ascii="Consolas" w:cs="Consolas" w:eastAsia="Consolas" w:hAnsi="Consolas"/>
                <w:color w:val="131A21"/>
                <w:sz w:val="17"/>
                <w:szCs w:val="17"/>
              </w:rPr>
              <w:t xml:space="preserve">scripts/</w:t>
            </w:r>
          </w:p>
          <w:p>
            <w:pPr>
              <w:spacing w:after="0" w:line="250"/>
            </w:pPr>
            <w:r>
              <w:rPr>
                <w:rFonts w:ascii="Consolas" w:cs="Consolas" w:eastAsia="Consolas" w:hAnsi="Consolas"/>
                <w:color w:val="131A21"/>
                <w:sz w:val="17"/>
                <w:szCs w:val="17"/>
              </w:rPr>
              <w:t xml:space="preserve">  run_backtest.py            backtest CLI, with the ablation switch</w:t>
            </w:r>
          </w:p>
          <w:p>
            <w:pPr>
              <w:spacing w:after="0" w:line="250"/>
            </w:pPr>
            <w:r>
              <w:rPr>
                <w:rFonts w:ascii="Consolas" w:cs="Consolas" w:eastAsia="Consolas" w:hAnsi="Consolas"/>
                <w:color w:val="131A21"/>
                <w:sz w:val="17"/>
                <w:szCs w:val="17"/>
              </w:rPr>
              <w:t xml:space="preserve">  run_once.py                one live cycle, the scheduled entry point</w:t>
            </w:r>
          </w:p>
          <w:p>
            <w:pPr>
              <w:spacing w:after="0" w:line="250"/>
            </w:pPr>
            <w:r>
              <w:rPr>
                <w:rFonts w:ascii="Consolas" w:cs="Consolas" w:eastAsia="Consolas" w:hAnsi="Consolas"/>
                <w:color w:val="131A21"/>
                <w:sz w:val="17"/>
                <w:szCs w:val="17"/>
              </w:rPr>
              <w:t xml:space="preserve">  compare_ablation.py        mark-to-market comparison, window guard</w:t>
            </w:r>
          </w:p>
          <w:p>
            <w:pPr>
              <w:spacing w:after="0" w:line="250"/>
            </w:pPr>
            <w:r>
              <w:rPr>
                <w:rFonts w:ascii="Consolas" w:cs="Consolas" w:eastAsia="Consolas" w:hAnsi="Consolas"/>
                <w:color w:val="131A21"/>
                <w:sz w:val="17"/>
                <w:szCs w:val="17"/>
              </w:rPr>
              <w:t xml:space="preserve">  replay_risk_rules.py       offline risk-rule replay</w:t>
            </w:r>
          </w:p>
          <w:p>
            <w:pPr>
              <w:spacing w:after="0" w:line="250"/>
            </w:pPr>
            <w:r>
              <w:rPr>
                <w:rFonts w:ascii="Consolas" w:cs="Consolas" w:eastAsia="Consolas" w:hAnsi="Consolas"/>
                <w:color w:val="131A21"/>
                <w:sz w:val="17"/>
                <w:szCs w:val="17"/>
              </w:rPr>
              <w:t xml:space="preserve">  probe_sentiment_scores.py  cheap score-distribution pre-flight</w:t>
            </w:r>
          </w:p>
          <w:p>
            <w:pPr>
              <w:spacing w:after="0" w:line="250"/>
            </w:pPr>
            <w:r>
              <w:rPr>
                <w:rFonts w:ascii="Consolas" w:cs="Consolas" w:eastAsia="Consolas" w:hAnsi="Consolas"/>
                <w:color w:val="131A21"/>
                <w:sz w:val="17"/>
                <w:szCs w:val="17"/>
              </w:rPr>
              <w:t xml:space="preserve">  inventory_sentiment.py     label distribution across all backtests</w:t>
            </w:r>
          </w:p>
          <w:p>
            <w:pPr>
              <w:spacing w:after="0" w:line="250"/>
            </w:pPr>
            <w:r>
              <w:rPr>
                <w:rFonts w:ascii="Consolas" w:cs="Consolas" w:eastAsia="Consolas" w:hAnsi="Consolas"/>
                <w:color w:val="131A21"/>
                <w:sz w:val="17"/>
                <w:szCs w:val="17"/>
              </w:rPr>
              <w:t xml:space="preserve">  fnspid_symbol_census.py    per-symbol per-month headline coverage</w:t>
            </w:r>
          </w:p>
          <w:p>
            <w:pPr>
              <w:spacing w:after="0" w:line="250"/>
            </w:pPr>
            <w:r>
              <w:rPr>
                <w:rFonts w:ascii="Consolas" w:cs="Consolas" w:eastAsia="Consolas" w:hAnsi="Consolas"/>
                <w:color w:val="131A21"/>
                <w:sz w:val="17"/>
                <w:szCs w:val="17"/>
              </w:rPr>
              <w:t xml:space="preserve">  fetch_bars.py              bulk daily bars for the dataset</w:t>
            </w:r>
          </w:p>
          <w:p>
            <w:pPr>
              <w:spacing w:after="0" w:line="250"/>
            </w:pPr>
            <w:r>
              <w:rPr>
                <w:rFonts w:ascii="Consolas" w:cs="Consolas" w:eastAsia="Consolas" w:hAnsi="Consolas"/>
                <w:color w:val="131A21"/>
                <w:sz w:val="17"/>
                <w:szCs w:val="17"/>
              </w:rPr>
              <w:t xml:space="preserve">  build_return_dataset.py    the 41,701-example training set</w:t>
            </w:r>
          </w:p>
          <w:p>
            <w:pPr>
              <w:spacing w:after="0" w:line="250"/>
            </w:pPr>
            <w:r>
              <w:rPr>
                <w:rFonts w:ascii="Consolas" w:cs="Consolas" w:eastAsia="Consolas" w:hAnsi="Consolas"/>
                <w:color w:val="131A21"/>
                <w:sz w:val="17"/>
                <w:szCs w:val="17"/>
              </w:rPr>
              <w:t xml:space="preserve">  tfidf_baseline.py          the bar a fine-tuned model must clear</w:t>
            </w:r>
          </w:p>
          <w:p>
            <w:pPr>
              <w:spacing w:after="0" w:line="250"/>
            </w:pPr>
            <w:r>
              <w:rPr>
                <w:rFonts w:ascii="Consolas" w:cs="Consolas" w:eastAsia="Consolas" w:hAnsi="Consolas"/>
                <w:color w:val="131A21"/>
                <w:sz w:val="17"/>
                <w:szCs w:val="17"/>
              </w:rPr>
              <w:t xml:space="preserve">tests/           39 tests, all passing, none skipped in CI</w:t>
            </w:r>
          </w:p>
          <w:p>
            <w:pPr>
              <w:spacing w:after="0" w:line="250"/>
            </w:pPr>
            <w:r>
              <w:rPr>
                <w:rFonts w:ascii="Consolas" w:cs="Consolas" w:eastAsia="Consolas" w:hAnsi="Consolas"/>
                <w:color w:val="131A21"/>
                <w:sz w:val="17"/>
                <w:szCs w:val="17"/>
              </w:rPr>
              <w:t xml:space="preserve">dashboard/       published report, results dashboard, roadmap</w:t>
            </w:r>
          </w:p>
        </w:tc>
      </w:tr>
    </w:tbl>
    <w:p>
      <w:pPr>
        <w:pStyle w:val="Heading1"/>
        <w:pBdr>
          <w:bottom w:val="single" w:color="131A21" w:sz="8" w:space="6"/>
        </w:pBdr>
        <w:spacing w:after="90" w:before="460"/>
      </w:pPr>
      <w:r>
        <w:rPr>
          <w:rFonts w:ascii="Georgia" w:cs="Georgia" w:eastAsia="Georgia" w:hAnsi="Georgia"/>
          <w:b/>
          <w:bCs/>
          <w:color w:val="131A21"/>
          <w:sz w:val="30"/>
          <w:szCs w:val="30"/>
        </w:rPr>
        <w:t xml:space="preserve">Appendix B  Reproducing the results</w:t>
      </w:r>
    </w:p>
    <w:p>
      <w:pPr>
        <w:pStyle w:val="Heading3"/>
        <w:spacing w:after="60" w:before="240"/>
      </w:pPr>
      <w:r>
        <w:rPr>
          <w:rFonts w:ascii="Calibri" w:cs="Calibri" w:eastAsia="Calibri" w:hAnsi="Calibri"/>
          <w:b/>
          <w:bCs/>
          <w:color w:val="24446E"/>
          <w:sz w:val="20"/>
          <w:szCs w:val="20"/>
        </w:rPr>
        <w:t xml:space="preserve">The system</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F2F4F7" w:color="auto" w:val="clear"/>
            <w:tcMar>
              <w:top w:type="dxa" w:w="150"/>
              <w:left w:type="dxa" w:w="200"/>
              <w:bottom w:type="dxa" w:w="150"/>
              <w:right w:type="dxa" w:w="200"/>
            </w:tcMar>
          </w:tcPr>
          <w:p>
            <w:pPr>
              <w:spacing w:after="0" w:line="250"/>
            </w:pPr>
            <w:r>
              <w:rPr>
                <w:rFonts w:ascii="Consolas" w:cs="Consolas" w:eastAsia="Consolas" w:hAnsi="Consolas"/>
                <w:color w:val="131A21"/>
                <w:sz w:val="17"/>
                <w:szCs w:val="17"/>
              </w:rPr>
              <w:t xml:space="preserve">docker compose up --build          # API plus a fresh database</w:t>
            </w:r>
          </w:p>
          <w:p>
            <w:pPr>
              <w:spacing w:after="0" w:line="250"/>
            </w:pPr>
            <w:r>
              <w:rPr>
                <w:rFonts w:ascii="Consolas" w:cs="Consolas" w:eastAsia="Consolas" w:hAnsi="Consolas"/>
                <w:color w:val="131A21"/>
                <w:sz w:val="17"/>
                <w:szCs w:val="17"/>
              </w:rPr>
              <w:t xml:space="preserve">pytest -q                          # 39 tests</w:t>
            </w:r>
          </w:p>
        </w:tc>
      </w:tr>
    </w:tbl>
    <w:p>
      <w:pPr>
        <w:pStyle w:val="Heading3"/>
        <w:spacing w:after="60" w:before="240"/>
      </w:pPr>
      <w:r>
        <w:rPr>
          <w:rFonts w:ascii="Calibri" w:cs="Calibri" w:eastAsia="Calibri" w:hAnsi="Calibri"/>
          <w:b/>
          <w:bCs/>
          <w:color w:val="24446E"/>
          <w:sz w:val="20"/>
          <w:szCs w:val="20"/>
        </w:rPr>
        <w:t xml:space="preserve">A backtest</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F2F4F7" w:color="auto" w:val="clear"/>
            <w:tcMar>
              <w:top w:type="dxa" w:w="150"/>
              <w:left w:type="dxa" w:w="200"/>
              <w:bottom w:type="dxa" w:w="150"/>
              <w:right w:type="dxa" w:w="200"/>
            </w:tcMar>
          </w:tcPr>
          <w:p>
            <w:pPr>
              <w:spacing w:after="0" w:line="250"/>
            </w:pPr>
            <w:r>
              <w:rPr>
                <w:rFonts w:ascii="Consolas" w:cs="Consolas" w:eastAsia="Consolas" w:hAnsi="Consolas"/>
                <w:color w:val="131A21"/>
                <w:sz w:val="17"/>
                <w:szCs w:val="17"/>
              </w:rPr>
              <w:t xml:space="preserve">python scripts/run_backtest.py --name "run" --symbols AAPL \</w:t>
            </w:r>
          </w:p>
          <w:p>
            <w:pPr>
              <w:spacing w:after="0" w:line="250"/>
            </w:pPr>
            <w:r>
              <w:rPr>
                <w:rFonts w:ascii="Consolas" w:cs="Consolas" w:eastAsia="Consolas" w:hAnsi="Consolas"/>
                <w:color w:val="131A21"/>
                <w:sz w:val="17"/>
                <w:szCs w:val="17"/>
              </w:rPr>
              <w:t xml:space="preserve">    --start 2022-06-03 --end 2023-06-30 --use-real-llms</w:t>
            </w:r>
          </w:p>
          <w:p>
            <w:pPr>
              <w:spacing w:after="0" w:line="250"/>
            </w:pPr>
            <w:r>
              <w:rPr>
                <w:rFonts w:ascii="Consolas" w:cs="Consolas" w:eastAsia="Consolas" w:hAnsi="Consolas"/>
                <w:color w:val="131A21"/>
                <w:sz w:val="17"/>
                <w:szCs w:val="17"/>
              </w:rPr>
              <w:t xml:space="preserve">python scripts/compare_ablation.py 4 7 8 9 14</w:t>
            </w:r>
          </w:p>
        </w:tc>
      </w:tr>
    </w:tbl>
    <w:p>
      <w:pPr>
        <w:pStyle w:val="Heading3"/>
        <w:spacing w:after="60" w:before="240"/>
      </w:pPr>
      <w:r>
        <w:rPr>
          <w:rFonts w:ascii="Calibri" w:cs="Calibri" w:eastAsia="Calibri" w:hAnsi="Calibri"/>
          <w:b/>
          <w:bCs/>
          <w:color w:val="24446E"/>
          <w:sz w:val="20"/>
          <w:szCs w:val="20"/>
        </w:rPr>
        <w:t xml:space="preserve">The return-prediction dataset and baseline</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F2F4F7" w:color="auto" w:val="clear"/>
            <w:tcMar>
              <w:top w:type="dxa" w:w="150"/>
              <w:left w:type="dxa" w:w="200"/>
              <w:bottom w:type="dxa" w:w="150"/>
              <w:right w:type="dxa" w:w="200"/>
            </w:tcMar>
          </w:tcPr>
          <w:p>
            <w:pPr>
              <w:spacing w:after="0" w:line="250"/>
            </w:pPr>
            <w:r>
              <w:rPr>
                <w:rFonts w:ascii="Consolas" w:cs="Consolas" w:eastAsia="Consolas" w:hAnsi="Consolas"/>
                <w:color w:val="131A21"/>
                <w:sz w:val="17"/>
                <w:szCs w:val="17"/>
              </w:rPr>
              <w:t xml:space="preserve">python scripts/fetch_bars.py --symbols data/fnspid_symbols.txt \</w:t>
            </w:r>
          </w:p>
          <w:p>
            <w:pPr>
              <w:spacing w:after="0" w:line="250"/>
            </w:pPr>
            <w:r>
              <w:rPr>
                <w:rFonts w:ascii="Consolas" w:cs="Consolas" w:eastAsia="Consolas" w:hAnsi="Consolas"/>
                <w:color w:val="131A21"/>
                <w:sz w:val="17"/>
                <w:szCs w:val="17"/>
              </w:rPr>
              <w:t xml:space="preserve">    --start 2022-06-01 --end 2024-01-20</w:t>
            </w:r>
          </w:p>
          <w:p>
            <w:pPr>
              <w:spacing w:after="0" w:line="250"/>
            </w:pPr>
            <w:r>
              <w:rPr>
                <w:rFonts w:ascii="Consolas" w:cs="Consolas" w:eastAsia="Consolas" w:hAnsi="Consolas"/>
                <w:color w:val="131A21"/>
                <w:sz w:val="17"/>
                <w:szCs w:val="17"/>
              </w:rPr>
              <w:t xml:space="preserve">python scripts/build_return_dataset.py</w:t>
            </w:r>
          </w:p>
          <w:p>
            <w:pPr>
              <w:spacing w:after="0" w:line="250"/>
            </w:pPr>
            <w:r>
              <w:rPr>
                <w:rFonts w:ascii="Consolas" w:cs="Consolas" w:eastAsia="Consolas" w:hAnsi="Consolas"/>
                <w:color w:val="131A21"/>
                <w:sz w:val="17"/>
                <w:szCs w:val="17"/>
              </w:rPr>
              <w:t xml:space="preserve">python scripts/tfidf_baseline.py      # always run this first</w:t>
            </w:r>
          </w:p>
        </w:tc>
      </w:tr>
    </w:tbl>
    <w:p>
      <w:pPr>
        <w:spacing w:after="140" w:before="0" w:line="300"/>
      </w:pPr>
      <w:r>
        <w:rPr>
          <w:rFonts w:ascii="Calibri" w:cs="Calibri" w:eastAsia="Calibri" w:hAnsi="Calibri"/>
          <w:b w:val="false"/>
          <w:bCs w:val="false"/>
          <w:i w:val="false"/>
          <w:iCs w:val="false"/>
          <w:color w:val="131A21"/>
          <w:sz w:val="21"/>
          <w:szCs w:val="21"/>
        </w:rPr>
        <w:t xml:space="preserve">Then the fine-tuning notebook on a free GPU platform. The offline replay needs no API access at all and runs against data already in the database.</w:t>
      </w:r>
    </w:p>
    <w:p>
      <w:pPr>
        <w:pStyle w:val="Heading1"/>
        <w:pBdr>
          <w:bottom w:val="single" w:color="131A21" w:sz="8" w:space="6"/>
        </w:pBdr>
        <w:spacing w:after="90" w:before="460"/>
      </w:pPr>
      <w:r>
        <w:rPr>
          <w:rFonts w:ascii="Georgia" w:cs="Georgia" w:eastAsia="Georgia" w:hAnsi="Georgia"/>
          <w:b/>
          <w:bCs/>
          <w:color w:val="131A21"/>
          <w:sz w:val="30"/>
          <w:szCs w:val="30"/>
        </w:rPr>
        <w:t xml:space="preserve">Appendix C  Tooling and cost</w:t>
      </w: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3000"/>
        <w:gridCol w:w="2000"/>
        <w:gridCol w:w="4026"/>
      </w:tblGrid>
      <w:tr>
        <w:trPr>
          <w:tblHeader/>
        </w:trPr>
        <w:tc>
          <w:tcPr>
            <w:tcW w:type="dxa" w:w="30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left"/>
            </w:pPr>
            <w:r>
              <w:rPr>
                <w:rFonts w:ascii="Calibri" w:cs="Calibri" w:eastAsia="Calibri" w:hAnsi="Calibri"/>
                <w:b/>
                <w:bCs/>
                <w:color w:val="6B7784"/>
                <w:sz w:val="16"/>
                <w:szCs w:val="16"/>
              </w:rPr>
              <w:t xml:space="preserve">Component</w:t>
            </w:r>
          </w:p>
        </w:tc>
        <w:tc>
          <w:tcPr>
            <w:tcW w:type="dxa" w:w="2000"/>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Choice</w:t>
            </w:r>
          </w:p>
        </w:tc>
        <w:tc>
          <w:tcPr>
            <w:tcW w:type="dxa" w:w="4026"/>
            <w:tcBorders>
              <w:top w:val="none" w:color="auto" w:sz="0"/>
              <w:left w:val="none" w:color="auto" w:sz="0"/>
              <w:bottom w:val="single" w:color="131A21" w:sz="10"/>
              <w:right w:val="none" w:color="auto" w:sz="0"/>
            </w:tcBorders>
            <w:tcMar>
              <w:top w:type="dxa" w:w="55"/>
              <w:left w:type="dxa" w:w="105"/>
              <w:bottom w:type="dxa" w:w="85"/>
              <w:right w:type="dxa" w:w="105"/>
            </w:tcMar>
          </w:tcPr>
          <w:p>
            <w:pPr>
              <w:spacing w:after="0"/>
              <w:jc w:val="right"/>
            </w:pPr>
            <w:r>
              <w:rPr>
                <w:rFonts w:ascii="Calibri" w:cs="Calibri" w:eastAsia="Calibri" w:hAnsi="Calibri"/>
                <w:b/>
                <w:bCs/>
                <w:color w:val="6B7784"/>
                <w:sz w:val="16"/>
                <w:szCs w:val="16"/>
              </w:rPr>
              <w:t xml:space="preserve">Note</w:t>
            </w:r>
          </w:p>
        </w:tc>
      </w:tr>
      <w:tr>
        <w:tc>
          <w:tcPr>
            <w:tcW w:type="dxa" w:w="30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Web framework</w:t>
            </w:r>
          </w:p>
        </w:tc>
        <w:tc>
          <w:tcPr>
            <w:tcW w:type="dxa" w:w="20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FastAPI</w:t>
            </w:r>
          </w:p>
        </w:tc>
        <w:tc>
          <w:tcPr>
            <w:tcW w:type="dxa" w:w="40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Async throughout, dependency injection used as the repository seam.</w:t>
            </w:r>
          </w:p>
        </w:tc>
      </w:tr>
      <w:tr>
        <w:tc>
          <w:tcPr>
            <w:tcW w:type="dxa" w:w="30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Database</w:t>
            </w:r>
          </w:p>
        </w:tc>
        <w:tc>
          <w:tcPr>
            <w:tcW w:type="dxa" w:w="20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PostgreSQL 16</w:t>
            </w:r>
          </w:p>
        </w:tc>
        <w:tc>
          <w:tcPr>
            <w:tcW w:type="dxa" w:w="40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Raw SQL via psycopg 3, no ORM, deliberately.</w:t>
            </w:r>
          </w:p>
        </w:tc>
      </w:tr>
      <w:tr>
        <w:tc>
          <w:tcPr>
            <w:tcW w:type="dxa" w:w="30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Orchestration</w:t>
            </w:r>
          </w:p>
        </w:tc>
        <w:tc>
          <w:tcPr>
            <w:tcW w:type="dxa" w:w="20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LangGraph</w:t>
            </w:r>
          </w:p>
        </w:tc>
        <w:tc>
          <w:tcPr>
            <w:tcW w:type="dxa" w:w="40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Compiled state graph with parallel fan-out.</w:t>
            </w:r>
          </w:p>
        </w:tc>
      </w:tr>
      <w:tr>
        <w:tc>
          <w:tcPr>
            <w:tcW w:type="dxa" w:w="30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Language models</w:t>
            </w:r>
          </w:p>
        </w:tc>
        <w:tc>
          <w:tcPr>
            <w:tcW w:type="dxa" w:w="20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GPT-4o, GPT-4o-mini</w:t>
            </w:r>
          </w:p>
        </w:tc>
        <w:tc>
          <w:tcPr>
            <w:tcW w:type="dxa" w:w="40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Frontier model only where judgment happens.</w:t>
            </w:r>
          </w:p>
        </w:tc>
      </w:tr>
      <w:tr>
        <w:tc>
          <w:tcPr>
            <w:tcW w:type="dxa" w:w="30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Fine-tuning</w:t>
            </w:r>
          </w:p>
        </w:tc>
        <w:tc>
          <w:tcPr>
            <w:tcW w:type="dxa" w:w="20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QLoRA on Qwen2.5</w:t>
            </w:r>
          </w:p>
        </w:tc>
        <w:tc>
          <w:tcPr>
            <w:tcW w:type="dxa" w:w="40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4-bit base, rank 16. 1.5B for v1, 0.5B for v2.</w:t>
            </w:r>
          </w:p>
        </w:tc>
      </w:tr>
      <w:tr>
        <w:tc>
          <w:tcPr>
            <w:tcW w:type="dxa" w:w="30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Market data</w:t>
            </w:r>
          </w:p>
        </w:tc>
        <w:tc>
          <w:tcPr>
            <w:tcW w:type="dxa" w:w="20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Alpaca (IEX feed)</w:t>
            </w:r>
          </w:p>
        </w:tc>
        <w:tc>
          <w:tcPr>
            <w:tcW w:type="dxa" w:w="40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Free tier. Daily bars only.</w:t>
            </w:r>
          </w:p>
        </w:tc>
      </w:tr>
      <w:tr>
        <w:tc>
          <w:tcPr>
            <w:tcW w:type="dxa" w:w="30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Headline corpus</w:t>
            </w:r>
          </w:p>
        </w:tc>
        <w:tc>
          <w:tcPr>
            <w:tcW w:type="dxa" w:w="20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FNSPID</w:t>
            </w:r>
          </w:p>
        </w:tc>
        <w:tc>
          <w:tcPr>
            <w:tcW w:type="dxa" w:w="40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23 GB, streamed rather than loaded.</w:t>
            </w:r>
          </w:p>
        </w:tc>
      </w:tr>
      <w:tr>
        <w:tc>
          <w:tcPr>
            <w:tcW w:type="dxa" w:w="30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Infrastructure</w:t>
            </w:r>
          </w:p>
        </w:tc>
        <w:tc>
          <w:tcPr>
            <w:tcW w:type="dxa" w:w="20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Terraform, AWS</w:t>
            </w:r>
          </w:p>
        </w:tc>
        <w:tc>
          <w:tcPr>
            <w:tcW w:type="dxa" w:w="40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Applied and destroyed the same day.</w:t>
            </w:r>
          </w:p>
        </w:tc>
      </w:tr>
      <w:tr>
        <w:tc>
          <w:tcPr>
            <w:tcW w:type="dxa" w:w="3000"/>
            <w:tcMar>
              <w:top w:type="dxa" w:w="85"/>
              <w:left w:type="dxa" w:w="105"/>
              <w:bottom w:type="dxa" w:w="85"/>
              <w:right w:type="dxa" w:w="105"/>
            </w:tcMar>
          </w:tcPr>
          <w:p>
            <w:pPr>
              <w:spacing w:after="0" w:line="250"/>
              <w:jc w:val="left"/>
            </w:pPr>
            <w:r>
              <w:rPr>
                <w:rFonts w:ascii="Calibri" w:cs="Calibri" w:eastAsia="Calibri" w:hAnsi="Calibri"/>
                <w:b w:val="false"/>
                <w:bCs w:val="false"/>
                <w:color w:val="131A21"/>
                <w:sz w:val="18"/>
                <w:szCs w:val="18"/>
              </w:rPr>
              <w:t xml:space="preserve">CI</w:t>
            </w:r>
          </w:p>
        </w:tc>
        <w:tc>
          <w:tcPr>
            <w:tcW w:type="dxa" w:w="2000"/>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GitHub Actions</w:t>
            </w:r>
          </w:p>
        </w:tc>
        <w:tc>
          <w:tcPr>
            <w:tcW w:type="dxa" w:w="4026"/>
            <w:tcMar>
              <w:top w:type="dxa" w:w="85"/>
              <w:left w:type="dxa" w:w="105"/>
              <w:bottom w:type="dxa" w:w="85"/>
              <w:right w:type="dxa" w:w="105"/>
            </w:tcMar>
          </w:tcPr>
          <w:p>
            <w:pPr>
              <w:spacing w:after="0" w:line="250"/>
              <w:jc w:val="right"/>
            </w:pPr>
            <w:r>
              <w:rPr>
                <w:rFonts w:ascii="Consolas" w:cs="Consolas" w:eastAsia="Consolas" w:hAnsi="Consolas"/>
                <w:b w:val="false"/>
                <w:bCs w:val="false"/>
                <w:color w:val="131A21"/>
                <w:sz w:val="18"/>
                <w:szCs w:val="18"/>
              </w:rPr>
              <w:t xml:space="preserve">Real database service, fails on any skipped test.</w:t>
            </w:r>
          </w:p>
        </w:tc>
      </w:tr>
    </w:tbl>
    <w:p>
      <w:pPr>
        <w:spacing w:after="140"/>
      </w:pPr>
    </w:p>
    <w:p>
      <w:pPr>
        <w:spacing w:after="140" w:before="0" w:line="300"/>
      </w:pPr>
      <w:r>
        <w:rPr>
          <w:rFonts w:ascii="Calibri" w:cs="Calibri" w:eastAsia="Calibri" w:hAnsi="Calibri"/>
          <w:b w:val="false"/>
          <w:bCs w:val="false"/>
          <w:i w:val="false"/>
          <w:iCs w:val="false"/>
          <w:color w:val="131A21"/>
          <w:sz w:val="21"/>
          <w:szCs w:val="21"/>
        </w:rPr>
        <w:t xml:space="preserve">Total spend across the entire project: under six dollars of language-model usage and a few cents of cloud compute. Every dataset, baseline, replay and diagnostic described in this report cost nothing to produce.</w:t>
      </w:r>
    </w:p>
    <w:p>
      <w:pPr>
        <w:spacing w:after="300"/>
      </w:pPr>
    </w:p>
    <w:p>
      <w:pPr>
        <w:pBdr>
          <w:top w:val="single" w:color="131A21" w:sz="12" w:space="10"/>
        </w:pBdr>
        <w:spacing w:after="120" w:before="200"/>
      </w:pPr>
    </w:p>
    <w:p>
      <w:pPr>
        <w:spacing w:after="140" w:before="0" w:line="300"/>
      </w:pPr>
      <w:r>
        <w:rPr>
          <w:rFonts w:ascii="Calibri" w:cs="Calibri" w:eastAsia="Calibri" w:hAnsi="Calibri"/>
          <w:b/>
          <w:bCs/>
          <w:i w:val="false"/>
          <w:iCs w:val="false"/>
          <w:color w:val="131A21"/>
          <w:sz w:val="18"/>
          <w:szCs w:val="18"/>
        </w:rPr>
        <w:t xml:space="preserve">Paper trading only. </w:t>
      </w:r>
      <w:r>
        <w:rPr>
          <w:rFonts w:ascii="Calibri" w:cs="Calibri" w:eastAsia="Calibri" w:hAnsi="Calibri"/>
          <w:b w:val="false"/>
          <w:bCs w:val="false"/>
          <w:i w:val="false"/>
          <w:iCs w:val="false"/>
          <w:color w:val="6B7784"/>
          <w:sz w:val="18"/>
          <w:szCs w:val="18"/>
        </w:rPr>
        <w:t xml:space="preserve">This project never touched real capital or a live brokerage account, and nothing in this report constitutes financial advice. The goal was an honestly evaluated system, not a claim of profitability — and when the evaluation came back negative, that is what got written down.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7784"/>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1A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Trading Agent — Technical Report</dc:title>
  <dc:creator>Pranav Thota</dc:creator>
  <dc:description>Design, implementation, evaluation and deployment of a multi-agent paper-trading system, and its negative result.</dc:description>
  <cp:lastModifiedBy>Un-named</cp:lastModifiedBy>
  <cp:revision>1</cp:revision>
  <dcterms:created xsi:type="dcterms:W3CDTF">2026-09-09T14:53:06.545Z</dcterms:created>
  <dcterms:modified xsi:type="dcterms:W3CDTF">2026-09-09T14:53:06.545Z</dcterms:modified>
</cp:coreProperties>
</file>

<file path=docProps/custom.xml><?xml version="1.0" encoding="utf-8"?>
<Properties xmlns="http://schemas.openxmlformats.org/officeDocument/2006/custom-properties" xmlns:vt="http://schemas.openxmlformats.org/officeDocument/2006/docPropsVTypes"/>
</file>