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FE65A" w14:textId="5C7DEFED" w:rsidR="00542E2F" w:rsidRPr="00542E2F" w:rsidRDefault="00542E2F" w:rsidP="00542E2F">
      <w:pPr>
        <w:spacing w:before="2400" w:after="240"/>
        <w:jc w:val="center"/>
      </w:pPr>
      <w:r>
        <w:rPr>
          <w:b/>
          <w:bCs/>
          <w:sz w:val="72"/>
          <w:szCs w:val="72"/>
          <w:shd w:val="clear" w:color="auto" w:fill="A5C9EB" w:themeFill="text2" w:themeFillTint="40"/>
        </w:rPr>
        <w:t>INFOSYS LIMITED</w:t>
      </w:r>
      <w:r>
        <w:rPr>
          <w:sz w:val="72"/>
          <w:szCs w:val="72"/>
        </w:rPr>
        <w:br/>
      </w:r>
      <w:r>
        <w:rPr>
          <w:i/>
          <w:iCs/>
          <w:sz w:val="32"/>
          <w:szCs w:val="32"/>
        </w:rPr>
        <w:t>Stock Market &amp; Financial Statement Analysis</w:t>
      </w:r>
    </w:p>
    <w:p w14:paraId="2754BC3A" w14:textId="77777777" w:rsidR="00542E2F" w:rsidRPr="00542E2F" w:rsidRDefault="00542E2F" w:rsidP="00542E2F">
      <w:pPr>
        <w:spacing w:before="240" w:after="240"/>
        <w:jc w:val="center"/>
      </w:pPr>
      <w:r>
        <w:rPr>
          <w:b/>
          <w:bCs/>
        </w:rPr>
        <w:t>Prepared as part of:</w:t>
      </w:r>
      <w:r>
        <w:t xml:space="preserve"> Week 2 — FinTech Domain &amp; Software Development Fundamentals</w:t>
      </w:r>
    </w:p>
    <w:p w14:paraId="78C5B304" w14:textId="77777777" w:rsidR="00542E2F" w:rsidRPr="00542E2F" w:rsidRDefault="00542E2F" w:rsidP="00542E2F">
      <w:pPr>
        <w:jc w:val="center"/>
      </w:pPr>
      <w:r>
        <w:rPr>
          <w:b/>
          <w:bCs/>
        </w:rPr>
        <w:t>Company:</w:t>
      </w:r>
      <w:r>
        <w:t xml:space="preserve"> Infosys Limited</w:t>
        <w:br/>
      </w:r>
      <w:r>
        <w:rPr>
          <w:b/>
          <w:bCs/>
        </w:rPr>
        <w:t>Financial Years Analysed:</w:t>
      </w:r>
      <w:r>
        <w:t xml:space="preserve"> FY2023–24, FY2024–25 and FY2025–26</w:t>
        <w:br/>
      </w:r>
      <w:r>
        <w:rPr>
          <w:b/>
          <w:bCs/>
        </w:rPr>
        <w:t>Financial Reporting Basis:</w:t>
      </w:r>
      <w:r>
        <w:t xml:space="preserve"> Consolidated IFRS</w:t>
        <w:br/>
      </w:r>
      <w:r>
        <w:rPr>
          <w:b/>
          <w:bCs/>
        </w:rPr>
        <w:t>Currency:</w:t>
      </w:r>
      <w:r>
        <w:t xml:space="preserve"> Indian Rupees (₹ crore)</w:t>
      </w:r>
    </w:p>
    <w:p w14:paraId="18C9708D" w14:textId="77777777" w:rsidR="00542E2F" w:rsidRPr="00542E2F" w:rsidRDefault="00542E2F" w:rsidP="00542E2F">
      <w:pPr>
        <w:pStyle w:val="Heading1"/>
        <w:pageBreakBefore/>
        <w:rPr>
          <w:b/>
          <w:bCs/>
        </w:rPr>
      </w:pPr>
      <w:r>
        <w:rPr>
          <w:b/>
          <w:bCs/>
        </w:rPr>
        <w:t>1. Introduction</w:t>
      </w:r>
    </w:p>
    <w:p w14:paraId="02EF8FF1" w14:textId="77777777" w:rsidR="00542E2F" w:rsidRPr="00542E2F" w:rsidRDefault="00542E2F" w:rsidP="00542E2F">
      <w:r>
        <w:t>The stock market plays an important role in the financial system by allowing companies to raise capital and enabling investors to participate in their growth. Analysing a company’s financial statements helps investors and analysts understand its profitability, financial position, liquidity, and overall business performance.</w:t>
      </w:r>
    </w:p>
    <w:p w14:paraId="3B71C54D" w14:textId="28525D0A" w:rsidR="00542E2F" w:rsidRPr="00542E2F" w:rsidRDefault="00542E2F" w:rsidP="00542E2F">
      <w:r>
        <w:t xml:space="preserve">This report presents an analysis of </w:t>
      </w:r>
      <w:r>
        <w:rPr>
          <w:b/>
          <w:bCs/>
        </w:rPr>
        <w:t>Infosys Limited</w:t>
      </w:r>
      <w:r>
        <w:t>, one of India’s major information technology (IT) services companies. It examines the company’s consolidated financial performance over three financial years: FY2023–24, FY2024–25, and FY2025–26.</w:t>
      </w:r>
    </w:p>
    <w:p w14:paraId="16AAF005" w14:textId="77777777" w:rsidR="00542E2F" w:rsidRPr="00542E2F" w:rsidRDefault="00542E2F" w:rsidP="00542E2F">
      <w:r>
        <w:t>The analysis focuses on revenue, operating profit, net profit, assets, equity, and cash flows. Financial ratios and year-on-year comparisons are used to identify important trends and understand the company’s financial position.</w:t>
      </w:r>
    </w:p>
    <w:p w14:paraId="36C6C084" w14:textId="77777777" w:rsidR="00542E2F" w:rsidRPr="00542E2F" w:rsidRDefault="00542E2F" w:rsidP="00542E2F">
      <w:r>
        <w:t>The financial figures used in this report are expressed in Indian rupees (₹ crore) and are based on Infosys’s consolidated financial statements prepared under International Financial Reporting Standards (IFRS). A financial year (FY) runs from 1 April to 31 March, so FY2025–26 ended on 31 March 2026, and one crore equals ten million.</w:t>
      </w:r>
    </w:p>
    <w:p w14:paraId="01D4537C" w14:textId="77777777" w:rsidR="00542E2F" w:rsidRPr="00542E2F" w:rsidRDefault="00542E2F" w:rsidP="00542E2F">
      <w:pPr>
        <w:pStyle w:val="Heading1"/>
        <w:rPr>
          <w:b/>
          <w:bCs/>
        </w:rPr>
      </w:pPr>
      <w:r>
        <w:rPr>
          <w:b/>
          <w:bCs/>
        </w:rPr>
        <w:t>2. Company Overview — Infosys Limited</w:t>
      </w:r>
    </w:p>
    <w:p w14:paraId="4993731E" w14:textId="77777777" w:rsidR="00542E2F" w:rsidRPr="00542E2F" w:rsidRDefault="00542E2F" w:rsidP="00542E2F">
      <w:r>
        <w:rPr>
          <w:b/>
          <w:bCs/>
        </w:rPr>
        <w:t>Company Name:</w:t>
      </w:r>
      <w:r>
        <w:t xml:space="preserve"> Infosys Limited</w:t>
        <w:br/>
      </w:r>
      <w:r>
        <w:rPr>
          <w:b/>
          <w:bCs/>
        </w:rPr>
        <w:t>Industry:</w:t>
      </w:r>
      <w:r>
        <w:t xml:space="preserve"> Information Technology and Consulting</w:t>
        <w:br/>
      </w:r>
      <w:r>
        <w:rPr>
          <w:b/>
          <w:bCs/>
        </w:rPr>
        <w:t>Headquarters:</w:t>
      </w:r>
      <w:r>
        <w:t xml:space="preserve"> Bengaluru, Karnataka, India</w:t>
        <w:br/>
      </w:r>
      <w:r>
        <w:rPr>
          <w:b/>
          <w:bCs/>
        </w:rPr>
        <w:t>Founded:</w:t>
      </w:r>
      <w:r>
        <w:t xml:space="preserve"> 1981</w:t>
        <w:br/>
      </w:r>
      <w:r>
        <w:rPr>
          <w:b/>
          <w:bCs/>
        </w:rPr>
        <w:t>Stock Exchanges:</w:t>
      </w:r>
      <w:r>
        <w:t xml:space="preserve"> NSE and BSE, India</w:t>
        <w:br/>
      </w:r>
      <w:r>
        <w:rPr>
          <w:b/>
          <w:bCs/>
        </w:rPr>
        <w:t>International Listing:</w:t>
      </w:r>
      <w:r>
        <w:t xml:space="preserve"> New York Stock Exchange (NYSE), through American Depositary Shares (ADSs)</w:t>
      </w:r>
    </w:p>
    <w:p w14:paraId="38B43326" w14:textId="77777777" w:rsidR="00542E2F" w:rsidRPr="00542E2F" w:rsidRDefault="00542E2F" w:rsidP="00542E2F">
      <w:r>
        <w:t>Infosys Limited is a global IT services and consulting company that provides digital transformation, software development, cloud services, artificial intelligence solutions, and business consulting to clients across various industries.</w:t>
      </w:r>
    </w:p>
    <w:p w14:paraId="741AFCD6" w14:textId="77777777" w:rsidR="00542E2F" w:rsidRPr="00542E2F" w:rsidRDefault="00542E2F" w:rsidP="00542E2F">
      <w:r>
        <w:t>The company serves customers in sectors such as financial services, manufacturing, retail, healthcare, and telecommunications. Its business model primarily involves providing technology services and consulting to organisations seeking to improve operational efficiency and digital capabilities.</w:t>
      </w:r>
    </w:p>
    <w:p w14:paraId="4A629B3F" w14:textId="7837AE4F" w:rsidR="00542E2F" w:rsidRDefault="00542E2F" w:rsidP="00542E2F">
      <w:r>
        <w:t>Infosys is a useful company for financial analysis because its published financial statements provide information about revenue growth, profitability, assets, liabilities, and cash flow. Analysing these figures helps illustrate how financial data can be used to evaluate a company’s business performance.</w:t>
      </w:r>
    </w:p>
    <w:p w14:paraId="6DB764E2" w14:textId="77777777" w:rsidR="00542E2F" w:rsidRPr="00542E2F" w:rsidRDefault="00542E2F" w:rsidP="00542E2F">
      <w:pPr>
        <w:pStyle w:val="Heading1"/>
        <w:rPr>
          <w:b/>
          <w:bCs/>
        </w:rPr>
      </w:pPr>
      <w:r>
        <w:rPr>
          <w:b/>
          <w:bCs/>
        </w:rPr>
        <w:t>3. Stock Market Fundamentals</w:t>
      </w:r>
    </w:p>
    <w:p w14:paraId="2FA62DCF" w14:textId="77777777" w:rsidR="00542E2F" w:rsidRPr="00542E2F" w:rsidRDefault="00542E2F" w:rsidP="00542E2F">
      <w:pPr>
        <w:pStyle w:val="Heading2"/>
      </w:pPr>
      <w:r>
        <w:rPr>
          <w:b/>
          <w:bCs/>
        </w:rPr>
        <w:t>3.1 What Is the Stock Market?</w:t>
      </w:r>
    </w:p>
    <w:p w14:paraId="153833D8" w14:textId="77777777" w:rsidR="00542E2F" w:rsidRPr="00542E2F" w:rsidRDefault="00542E2F" w:rsidP="00542E2F">
      <w:r>
        <w:t>The stock market is a financial marketplace where investors buy and sell shares of publicly listed companies. A share represents partial ownership in a company. Companies can raise capital through the stock market, while investors can potentially earn returns through share-price appreciation and dividends.</w:t>
      </w:r>
    </w:p>
    <w:p w14:paraId="2829B08C" w14:textId="77777777" w:rsidR="00542E2F" w:rsidRPr="00542E2F" w:rsidRDefault="00542E2F" w:rsidP="00542E2F">
      <w:r>
        <w:t>Stock prices fluctuate based on factors such as company performance, market demand and supply, economic conditions, interest rates, and investor sentiment.</w:t>
      </w:r>
    </w:p>
    <w:p w14:paraId="6266C4D9" w14:textId="77777777" w:rsidR="00542E2F" w:rsidRPr="00542E2F" w:rsidRDefault="00542E2F" w:rsidP="00542E2F">
      <w:pPr>
        <w:pStyle w:val="Heading2"/>
      </w:pPr>
      <w:r>
        <w:rPr>
          <w:b/>
          <w:bCs/>
        </w:rPr>
        <w:t>3.2 Major Stock Exchanges in India</w:t>
      </w:r>
    </w:p>
    <w:p w14:paraId="1B9A9871" w14:textId="77777777" w:rsidR="00542E2F" w:rsidRPr="00542E2F" w:rsidRDefault="00542E2F" w:rsidP="00542E2F">
      <w:r>
        <w:t>India has two major stock exchanges:</w:t>
      </w:r>
    </w:p>
    <w:p w14:paraId="14D6F833" w14:textId="77777777" w:rsidR="00542E2F" w:rsidRPr="00542E2F" w:rsidRDefault="00542E2F" w:rsidP="00542E2F">
      <w:pPr>
        <w:numPr>
          <w:ilvl w:val="0"/>
          <w:numId w:val="1"/>
        </w:numPr>
      </w:pPr>
      <w:r>
        <w:rPr>
          <w:b/>
          <w:bCs/>
        </w:rPr>
        <w:t>National Stock Exchange (NSE):</w:t>
      </w:r>
      <w:r>
        <w:t xml:space="preserve"> One of India’s leading stock exchanges. Its benchmark index, the Nifty 50, tracks 50 major listed companies. </w:t>
      </w:r>
    </w:p>
    <w:p w14:paraId="15FC8B81" w14:textId="77777777" w:rsidR="00542E2F" w:rsidRPr="00542E2F" w:rsidRDefault="00542E2F" w:rsidP="00542E2F">
      <w:pPr>
        <w:numPr>
          <w:ilvl w:val="0"/>
          <w:numId w:val="1"/>
        </w:numPr>
      </w:pPr>
      <w:r>
        <w:rPr>
          <w:b/>
          <w:bCs/>
        </w:rPr>
        <w:t>Bombay Stock Exchange (BSE):</w:t>
      </w:r>
      <w:r>
        <w:t xml:space="preserve"> One of India’s oldest stock exchanges. Its benchmark index, the Sensex, tracks 30 major companies listed on the exchange. </w:t>
      </w:r>
    </w:p>
    <w:p w14:paraId="14809893" w14:textId="77777777" w:rsidR="00542E2F" w:rsidRPr="00542E2F" w:rsidRDefault="00542E2F" w:rsidP="00542E2F">
      <w:r>
        <w:t>Both exchanges provide platforms for trading securities under the applicable regulatory framework.</w:t>
      </w:r>
    </w:p>
    <w:p w14:paraId="246A0889" w14:textId="77777777" w:rsidR="00542E2F" w:rsidRPr="00542E2F" w:rsidRDefault="00542E2F" w:rsidP="00542E2F">
      <w:pPr>
        <w:pStyle w:val="Heading2"/>
      </w:pPr>
      <w:r>
        <w:rPr>
          <w:b/>
          <w:bCs/>
        </w:rPr>
        <w:t>3.3 How Stock Prices Are Determined</w:t>
      </w:r>
    </w:p>
    <w:p w14:paraId="12D62E0A" w14:textId="77777777" w:rsidR="00542E2F" w:rsidRPr="00542E2F" w:rsidRDefault="00542E2F" w:rsidP="00542E2F">
      <w:r>
        <w:t>Stock prices generally change according to buying and selling activity in the market. When demand for a share increases relative to supply, its price may rise. When selling pressure increases, its price may fall.</w:t>
      </w:r>
    </w:p>
    <w:p w14:paraId="3DB0E6F0" w14:textId="77777777" w:rsidR="00542E2F" w:rsidRPr="00542E2F" w:rsidRDefault="00542E2F" w:rsidP="00542E2F">
      <w:r>
        <w:t>Investors consider several factors when evaluating a company, including:</w:t>
      </w:r>
    </w:p>
    <w:p w14:paraId="46984C98" w14:textId="77777777" w:rsidR="00542E2F" w:rsidRPr="00542E2F" w:rsidRDefault="00542E2F" w:rsidP="00542E2F">
      <w:pPr>
        <w:numPr>
          <w:ilvl w:val="0"/>
          <w:numId w:val="2"/>
        </w:numPr>
      </w:pPr>
      <w:r>
        <w:t xml:space="preserve">Revenue and profit growth. </w:t>
      </w:r>
    </w:p>
    <w:p w14:paraId="5BBF4107" w14:textId="77777777" w:rsidR="00542E2F" w:rsidRPr="00542E2F" w:rsidRDefault="00542E2F" w:rsidP="00542E2F">
      <w:pPr>
        <w:numPr>
          <w:ilvl w:val="0"/>
          <w:numId w:val="2"/>
        </w:numPr>
      </w:pPr>
      <w:r>
        <w:t xml:space="preserve">Financial stability and debt levels. </w:t>
      </w:r>
    </w:p>
    <w:p w14:paraId="532E9344" w14:textId="77777777" w:rsidR="00542E2F" w:rsidRPr="00542E2F" w:rsidRDefault="00542E2F" w:rsidP="00542E2F">
      <w:pPr>
        <w:numPr>
          <w:ilvl w:val="0"/>
          <w:numId w:val="2"/>
        </w:numPr>
      </w:pPr>
      <w:r>
        <w:t xml:space="preserve">Future business opportunities. </w:t>
      </w:r>
    </w:p>
    <w:p w14:paraId="3CD47CDB" w14:textId="77777777" w:rsidR="00542E2F" w:rsidRPr="00542E2F" w:rsidRDefault="00542E2F" w:rsidP="00542E2F">
      <w:pPr>
        <w:numPr>
          <w:ilvl w:val="0"/>
          <w:numId w:val="2"/>
        </w:numPr>
      </w:pPr>
      <w:r>
        <w:t xml:space="preserve">Industry competition. </w:t>
      </w:r>
    </w:p>
    <w:p w14:paraId="3EC6BFA4" w14:textId="77777777" w:rsidR="00542E2F" w:rsidRPr="00542E2F" w:rsidRDefault="00542E2F" w:rsidP="00542E2F">
      <w:pPr>
        <w:numPr>
          <w:ilvl w:val="0"/>
          <w:numId w:val="2"/>
        </w:numPr>
      </w:pPr>
      <w:r>
        <w:t xml:space="preserve">Economic conditions and market sentiment. </w:t>
      </w:r>
    </w:p>
    <w:p w14:paraId="69B2C780" w14:textId="77777777" w:rsidR="00542E2F" w:rsidRPr="00542E2F" w:rsidRDefault="00542E2F" w:rsidP="00542E2F">
      <w:pPr>
        <w:pStyle w:val="Heading2"/>
      </w:pPr>
      <w:r>
        <w:rPr>
          <w:b/>
          <w:bCs/>
        </w:rPr>
        <w:t>3.4 Understanding Financial Statements</w:t>
      </w:r>
    </w:p>
    <w:p w14:paraId="0A9C59F0" w14:textId="77777777" w:rsidR="00542E2F" w:rsidRPr="00542E2F" w:rsidRDefault="00542E2F" w:rsidP="00542E2F">
      <w:r>
        <w:t>Financial statements help investors understand a company’s financial performance and position. The three main statements are:</w:t>
      </w:r>
    </w:p>
    <w:p w14:paraId="2B32F6E6" w14:textId="77777777" w:rsidR="00542E2F" w:rsidRPr="00542E2F" w:rsidRDefault="00542E2F" w:rsidP="00542E2F">
      <w:pPr>
        <w:numPr>
          <w:ilvl w:val="0"/>
          <w:numId w:val="3"/>
        </w:numPr>
      </w:pPr>
      <w:r>
        <w:rPr>
          <w:b/>
          <w:bCs/>
        </w:rPr>
        <w:t>Income Statement:</w:t>
      </w:r>
      <w:r>
        <w:t xml:space="preserve"> Reports revenue, expenses, and profit over a period. </w:t>
      </w:r>
    </w:p>
    <w:p w14:paraId="5D369D8F" w14:textId="77777777" w:rsidR="00542E2F" w:rsidRPr="00542E2F" w:rsidRDefault="00542E2F" w:rsidP="00542E2F">
      <w:pPr>
        <w:numPr>
          <w:ilvl w:val="0"/>
          <w:numId w:val="3"/>
        </w:numPr>
      </w:pPr>
      <w:r>
        <w:rPr>
          <w:b/>
          <w:bCs/>
        </w:rPr>
        <w:t>Balance Sheet:</w:t>
      </w:r>
      <w:r>
        <w:t xml:space="preserve"> Shows assets, liabilities, and shareholders’ equity at a particular date. </w:t>
      </w:r>
    </w:p>
    <w:p w14:paraId="13476625" w14:textId="77777777" w:rsidR="00542E2F" w:rsidRPr="00542E2F" w:rsidRDefault="00542E2F" w:rsidP="00542E2F">
      <w:pPr>
        <w:numPr>
          <w:ilvl w:val="0"/>
          <w:numId w:val="3"/>
        </w:numPr>
      </w:pPr>
      <w:r>
        <w:rPr>
          <w:b/>
          <w:bCs/>
        </w:rPr>
        <w:t>Cash Flow Statement:</w:t>
      </w:r>
      <w:r>
        <w:t xml:space="preserve"> Reports cash generated and used by operating, investing, and financing activities. </w:t>
      </w:r>
    </w:p>
    <w:p w14:paraId="35266233" w14:textId="77777777" w:rsidR="00542E2F" w:rsidRPr="00542E2F" w:rsidRDefault="00542E2F" w:rsidP="00542E2F">
      <w:r>
        <w:t>Together, these statements help analysts evaluate profitability, financial strength, and cash management.</w:t>
      </w:r>
    </w:p>
    <w:p w14:paraId="1C920051" w14:textId="77777777" w:rsidR="00542E2F" w:rsidRPr="00542E2F" w:rsidRDefault="00542E2F" w:rsidP="00542E2F">
      <w:pPr>
        <w:pStyle w:val="Heading2"/>
      </w:pPr>
      <w:r>
        <w:rPr>
          <w:b/>
          <w:bCs/>
        </w:rPr>
        <w:t>3.5 Important Financial Metrics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200"/>
        <w:gridCol w:w="6826"/>
      </w:tblGrid>
      <w:tr w:rsidR="00542E2F" w:rsidRPr="00542E2F" w14:paraId="62DA9459" w14:textId="77777777">
        <w:trPr>
          <w:cantSplit/>
          <w:tblHeader/>
        </w:trPr>
        <w:tc>
          <w:tcPr>
            <w:tcW w:w="2200" w:type="dxa"/>
            <w:shd w:val="clear" w:color="auto" w:fill="D9E2F3"/>
            <w:vAlign w:val="center"/>
          </w:tcPr>
          <w:p w14:paraId="2822E956" w14:textId="77777777" w:rsidR="00542E2F" w:rsidRPr="00542E2F" w:rsidRDefault="00542E2F" w:rsidP="00542E2F">
            <w:pPr>
              <w:keepNext/>
              <w:spacing w:before="0" w:after="0" w:line="259" w:lineRule="auto"/>
              <w:rPr>
                <w:b/>
                <w:bCs/>
              </w:rPr>
            </w:pPr>
            <w:r>
              <w:rPr>
                <w:b/>
                <w:bCs/>
                <w:sz w:val="21"/>
                <w:szCs w:val="21"/>
              </w:rPr>
              <w:t>Metric</w:t>
            </w:r>
          </w:p>
        </w:tc>
        <w:tc>
          <w:tcPr>
            <w:tcW w:w="6826" w:type="dxa"/>
            <w:shd w:val="clear" w:color="auto" w:fill="D9E2F3"/>
            <w:vAlign w:val="center"/>
          </w:tcPr>
          <w:p w14:paraId="5E5E4DC6" w14:textId="77777777" w:rsidR="00542E2F" w:rsidRPr="00542E2F" w:rsidRDefault="00542E2F" w:rsidP="00542E2F">
            <w:pPr>
              <w:keepNext/>
              <w:spacing w:before="0" w:after="0" w:line="259" w:lineRule="auto"/>
              <w:rPr>
                <w:b/>
                <w:bCs/>
              </w:rPr>
            </w:pPr>
            <w:r>
              <w:rPr>
                <w:b/>
                <w:bCs/>
                <w:sz w:val="21"/>
                <w:szCs w:val="21"/>
              </w:rPr>
              <w:t>Meaning</w:t>
            </w:r>
          </w:p>
        </w:tc>
      </w:tr>
      <w:tr w:rsidR="00542E2F" w:rsidRPr="00542E2F" w14:paraId="65B4D7EB" w14:textId="77777777">
        <w:trPr>
          <w:cantSplit/>
        </w:trPr>
        <w:tc>
          <w:tcPr>
            <w:tcW w:w="2200" w:type="dxa"/>
            <w:vAlign w:val="center"/>
          </w:tcPr>
          <w:p w14:paraId="7679F7FD" w14:textId="77777777" w:rsidR="00542E2F" w:rsidRPr="00542E2F" w:rsidRDefault="00542E2F" w:rsidP="00542E2F">
            <w:pPr>
              <w:keepNext/>
              <w:spacing w:before="0" w:after="0" w:line="259" w:lineRule="auto"/>
            </w:pPr>
            <w:r>
              <w:rPr>
                <w:sz w:val="21"/>
                <w:szCs w:val="21"/>
              </w:rPr>
              <w:t>Revenue Growth</w:t>
            </w:r>
          </w:p>
        </w:tc>
        <w:tc>
          <w:tcPr>
            <w:tcW w:w="6826" w:type="dxa"/>
            <w:vAlign w:val="center"/>
          </w:tcPr>
          <w:p w14:paraId="402BA710" w14:textId="77777777" w:rsidR="00542E2F" w:rsidRPr="00542E2F" w:rsidRDefault="00542E2F" w:rsidP="00542E2F">
            <w:pPr>
              <w:keepNext/>
              <w:spacing w:before="0" w:after="0" w:line="259" w:lineRule="auto"/>
            </w:pPr>
            <w:r>
              <w:rPr>
                <w:sz w:val="21"/>
                <w:szCs w:val="21"/>
              </w:rPr>
              <w:t>Percentage increase or decrease in revenue between periods.</w:t>
            </w:r>
          </w:p>
        </w:tc>
      </w:tr>
      <w:tr w:rsidR="00542E2F" w:rsidRPr="00542E2F" w14:paraId="2D26F62C" w14:textId="77777777">
        <w:trPr>
          <w:cantSplit/>
        </w:trPr>
        <w:tc>
          <w:tcPr>
            <w:tcW w:w="2200" w:type="dxa"/>
            <w:vAlign w:val="center"/>
          </w:tcPr>
          <w:p w14:paraId="65CC3AAB" w14:textId="77777777" w:rsidR="00542E2F" w:rsidRPr="00542E2F" w:rsidRDefault="00542E2F" w:rsidP="00542E2F">
            <w:pPr>
              <w:keepNext/>
              <w:spacing w:before="0" w:after="0" w:line="259" w:lineRule="auto"/>
            </w:pPr>
            <w:r>
              <w:rPr>
                <w:sz w:val="21"/>
                <w:szCs w:val="21"/>
              </w:rPr>
              <w:t>Operating Profit</w:t>
            </w:r>
          </w:p>
        </w:tc>
        <w:tc>
          <w:tcPr>
            <w:tcW w:w="6826" w:type="dxa"/>
            <w:vAlign w:val="center"/>
          </w:tcPr>
          <w:p w14:paraId="66F3AC54" w14:textId="77777777" w:rsidR="00542E2F" w:rsidRPr="00542E2F" w:rsidRDefault="00542E2F" w:rsidP="00542E2F">
            <w:pPr>
              <w:keepNext/>
              <w:spacing w:before="0" w:after="0" w:line="259" w:lineRule="auto"/>
            </w:pPr>
            <w:r>
              <w:rPr>
                <w:sz w:val="21"/>
                <w:szCs w:val="21"/>
              </w:rPr>
              <w:t>Profit generated from the company’s core operations, before other income, finance costs and taxes.</w:t>
            </w:r>
          </w:p>
        </w:tc>
      </w:tr>
      <w:tr w:rsidR="00542E2F" w:rsidRPr="00542E2F" w14:paraId="63A4FBF0" w14:textId="77777777">
        <w:trPr>
          <w:cantSplit/>
        </w:trPr>
        <w:tc>
          <w:tcPr>
            <w:tcW w:w="2200" w:type="dxa"/>
            <w:vAlign w:val="center"/>
          </w:tcPr>
          <w:p w14:paraId="4ABEBFCA" w14:textId="77777777" w:rsidR="00542E2F" w:rsidRPr="00542E2F" w:rsidRDefault="00542E2F" w:rsidP="00542E2F">
            <w:pPr>
              <w:keepNext/>
              <w:spacing w:before="0" w:after="0" w:line="259" w:lineRule="auto"/>
            </w:pPr>
            <w:r>
              <w:rPr>
                <w:sz w:val="21"/>
                <w:szCs w:val="21"/>
              </w:rPr>
              <w:t>Net Profit</w:t>
            </w:r>
          </w:p>
        </w:tc>
        <w:tc>
          <w:tcPr>
            <w:tcW w:w="6826" w:type="dxa"/>
            <w:vAlign w:val="center"/>
          </w:tcPr>
          <w:p w14:paraId="12D07F01" w14:textId="77777777" w:rsidR="00542E2F" w:rsidRPr="00542E2F" w:rsidRDefault="00542E2F" w:rsidP="00542E2F">
            <w:pPr>
              <w:keepNext/>
              <w:spacing w:before="0" w:after="0" w:line="259" w:lineRule="auto"/>
            </w:pPr>
            <w:r>
              <w:rPr>
                <w:sz w:val="21"/>
                <w:szCs w:val="21"/>
              </w:rPr>
              <w:t>Profit remaining after expenses and taxes.</w:t>
            </w:r>
          </w:p>
        </w:tc>
      </w:tr>
      <w:tr w:rsidR="00542E2F" w:rsidRPr="00542E2F" w14:paraId="7F8F615D" w14:textId="77777777">
        <w:trPr>
          <w:cantSplit/>
        </w:trPr>
        <w:tc>
          <w:tcPr>
            <w:tcW w:w="2200" w:type="dxa"/>
            <w:vAlign w:val="center"/>
          </w:tcPr>
          <w:p w14:paraId="4B621754" w14:textId="77777777" w:rsidR="00542E2F" w:rsidRPr="00542E2F" w:rsidRDefault="00542E2F" w:rsidP="00542E2F">
            <w:pPr>
              <w:keepNext/>
              <w:spacing w:before="0" w:after="0" w:line="259" w:lineRule="auto"/>
            </w:pPr>
            <w:r>
              <w:rPr>
                <w:sz w:val="21"/>
                <w:szCs w:val="21"/>
              </w:rPr>
              <w:t>Operating Margin</w:t>
            </w:r>
          </w:p>
        </w:tc>
        <w:tc>
          <w:tcPr>
            <w:tcW w:w="6826" w:type="dxa"/>
            <w:vAlign w:val="center"/>
          </w:tcPr>
          <w:p w14:paraId="0D25D5FF" w14:textId="77777777" w:rsidR="00542E2F" w:rsidRPr="00542E2F" w:rsidRDefault="00542E2F" w:rsidP="00542E2F">
            <w:pPr>
              <w:keepNext/>
              <w:spacing w:before="0" w:after="0" w:line="259" w:lineRule="auto"/>
            </w:pPr>
            <w:r>
              <w:rPr>
                <w:sz w:val="21"/>
                <w:szCs w:val="21"/>
              </w:rPr>
              <w:t>Operating profit expressed as a percentage of revenue.</w:t>
            </w:r>
          </w:p>
        </w:tc>
      </w:tr>
      <w:tr w:rsidR="00542E2F" w:rsidRPr="00542E2F" w14:paraId="5F1B4742" w14:textId="77777777">
        <w:trPr>
          <w:cantSplit/>
        </w:trPr>
        <w:tc>
          <w:tcPr>
            <w:tcW w:w="2200" w:type="dxa"/>
            <w:vAlign w:val="center"/>
          </w:tcPr>
          <w:p w14:paraId="3A9722CC" w14:textId="77777777" w:rsidR="00542E2F" w:rsidRPr="00542E2F" w:rsidRDefault="00542E2F" w:rsidP="00542E2F">
            <w:pPr>
              <w:keepNext/>
              <w:spacing w:before="0" w:after="0" w:line="259" w:lineRule="auto"/>
            </w:pPr>
            <w:r>
              <w:rPr>
                <w:sz w:val="21"/>
                <w:szCs w:val="21"/>
              </w:rPr>
              <w:t>Net Profit Margin</w:t>
            </w:r>
          </w:p>
        </w:tc>
        <w:tc>
          <w:tcPr>
            <w:tcW w:w="6826" w:type="dxa"/>
            <w:vAlign w:val="center"/>
          </w:tcPr>
          <w:p w14:paraId="531EC93F" w14:textId="77777777" w:rsidR="00542E2F" w:rsidRPr="00542E2F" w:rsidRDefault="00542E2F" w:rsidP="00542E2F">
            <w:pPr>
              <w:keepNext/>
              <w:spacing w:before="0" w:after="0" w:line="259" w:lineRule="auto"/>
            </w:pPr>
            <w:r>
              <w:rPr>
                <w:sz w:val="21"/>
                <w:szCs w:val="21"/>
              </w:rPr>
              <w:t>Net profit expressed as a percentage of revenue.</w:t>
            </w:r>
          </w:p>
        </w:tc>
      </w:tr>
      <w:tr w:rsidR="00542E2F" w:rsidRPr="00542E2F" w14:paraId="019DB353" w14:textId="77777777">
        <w:trPr>
          <w:cantSplit/>
        </w:trPr>
        <w:tc>
          <w:tcPr>
            <w:tcW w:w="2200" w:type="dxa"/>
            <w:vAlign w:val="center"/>
          </w:tcPr>
          <w:p w14:paraId="348992DB" w14:textId="77777777" w:rsidR="00542E2F" w:rsidRPr="00542E2F" w:rsidRDefault="00542E2F" w:rsidP="00542E2F">
            <w:pPr>
              <w:keepNext/>
              <w:spacing w:before="0" w:after="0" w:line="259" w:lineRule="auto"/>
            </w:pPr>
            <w:r>
              <w:rPr>
                <w:sz w:val="21"/>
                <w:szCs w:val="21"/>
              </w:rPr>
              <w:t>Total Assets</w:t>
            </w:r>
          </w:p>
        </w:tc>
        <w:tc>
          <w:tcPr>
            <w:tcW w:w="6826" w:type="dxa"/>
            <w:vAlign w:val="center"/>
          </w:tcPr>
          <w:p w14:paraId="1CD3BA45" w14:textId="77777777" w:rsidR="00542E2F" w:rsidRPr="00542E2F" w:rsidRDefault="00542E2F" w:rsidP="00542E2F">
            <w:pPr>
              <w:keepNext/>
              <w:spacing w:before="0" w:after="0" w:line="259" w:lineRule="auto"/>
            </w:pPr>
            <w:r>
              <w:rPr>
                <w:sz w:val="21"/>
                <w:szCs w:val="21"/>
              </w:rPr>
              <w:t>Resources owned or controlled by the company.</w:t>
            </w:r>
          </w:p>
        </w:tc>
      </w:tr>
      <w:tr w:rsidR="00542E2F" w:rsidRPr="00542E2F" w14:paraId="75BE2B74" w14:textId="77777777">
        <w:trPr>
          <w:cantSplit/>
        </w:trPr>
        <w:tc>
          <w:tcPr>
            <w:tcW w:w="2200" w:type="dxa"/>
            <w:vAlign w:val="center"/>
          </w:tcPr>
          <w:p w14:paraId="19F52ADB" w14:textId="77777777" w:rsidR="00542E2F" w:rsidRPr="00542E2F" w:rsidRDefault="00542E2F" w:rsidP="00542E2F">
            <w:pPr>
              <w:spacing w:before="0" w:after="0" w:line="259" w:lineRule="auto"/>
            </w:pPr>
            <w:r>
              <w:rPr>
                <w:sz w:val="21"/>
                <w:szCs w:val="21"/>
              </w:rPr>
              <w:t>Operating Cash Flow</w:t>
            </w:r>
          </w:p>
        </w:tc>
        <w:tc>
          <w:tcPr>
            <w:tcW w:w="6826" w:type="dxa"/>
            <w:vAlign w:val="center"/>
          </w:tcPr>
          <w:p w14:paraId="6D79D3C5" w14:textId="77777777" w:rsidR="00542E2F" w:rsidRPr="00542E2F" w:rsidRDefault="00542E2F" w:rsidP="00542E2F">
            <w:pPr>
              <w:spacing w:before="0" w:after="0" w:line="259" w:lineRule="auto"/>
            </w:pPr>
            <w:r>
              <w:rPr>
                <w:sz w:val="21"/>
                <w:szCs w:val="21"/>
              </w:rPr>
              <w:t>Net cash generated from operating activities.</w:t>
            </w:r>
          </w:p>
        </w:tc>
      </w:tr>
    </w:tbl>
    <w:p w14:paraId="3984B72F" w14:textId="77777777" w:rsidR="00542E2F" w:rsidRPr="00542E2F" w:rsidRDefault="00542E2F" w:rsidP="00542E2F">
      <w:pPr>
        <w:pStyle w:val="Heading1"/>
        <w:pageBreakBefore/>
        <w:spacing w:before="160"/>
        <w:rPr>
          <w:b/>
          <w:bCs/>
        </w:rPr>
      </w:pPr>
      <w:r>
        <w:rPr>
          <w:b/>
          <w:bCs/>
        </w:rPr>
        <w:t>4. Financial Statement Analysis of Infosys Limited</w:t>
      </w:r>
    </w:p>
    <w:p w14:paraId="337452BA" w14:textId="77777777" w:rsidR="00542E2F" w:rsidRPr="00542E2F" w:rsidRDefault="00542E2F" w:rsidP="00542E2F">
      <w:r>
        <w:t>This section analyses Infosys Limited’s consolidated financial performance for FY2023–24, FY2024–25, and FY2025–26. The analysis focuses on revenue, operating profit, net profit, assets, equity, and cash flows. All financial values are expressed in ₹ crore.</w:t>
      </w:r>
    </w:p>
    <w:p w14:paraId="109687E9" w14:textId="77777777" w:rsidR="00542E2F" w:rsidRPr="00542E2F" w:rsidRDefault="00542E2F" w:rsidP="00542E2F">
      <w:pPr>
        <w:pStyle w:val="Heading2"/>
        <w:rPr>
          <w:b/>
          <w:bCs/>
        </w:rPr>
      </w:pPr>
      <w:r>
        <w:rPr>
          <w:b/>
          <w:bCs/>
        </w:rPr>
        <w:t>4.1 Profit and Loss Analysis</w:t>
      </w:r>
    </w:p>
    <w:p w14:paraId="79E89D0E" w14:textId="77777777" w:rsidR="00542E2F" w:rsidRPr="00542E2F" w:rsidRDefault="00542E2F" w:rsidP="00542E2F">
      <w:r>
        <w:t>The income statement helps evaluate a company’s revenue generation and profitability over a financial period.</w:t>
      </w:r>
    </w:p>
    <w:p w14:paraId="6BDE10C1" w14:textId="77777777" w:rsidR="00542E2F" w:rsidRPr="00542E2F" w:rsidRDefault="00542E2F" w:rsidP="00542E2F">
      <w:pPr>
        <w:keepNext/>
      </w:pPr>
      <w:r>
        <w:t>The following table summarises Infosys’s financial performance:</w:t>
      </w:r>
    </w:p>
    <w:p w14:paraId="6429A427" w14:textId="77777777" w:rsidR="00542E2F" w:rsidRPr="00542E2F" w:rsidRDefault="00542E2F" w:rsidP="00542E2F">
      <w:pPr>
        <w:keepNext/>
      </w:pPr>
      <w:r>
        <w:rPr>
          <w:b/>
          <w:bCs/>
        </w:rPr>
        <w:t>Summary of Profit and Loss (₹ crore)</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3626"/>
        <w:gridCol w:w="1800"/>
        <w:gridCol w:w="1800"/>
        <w:gridCol w:w="1800"/>
      </w:tblGrid>
      <w:tr w:rsidR="00542E2F" w:rsidRPr="00542E2F" w14:paraId="4FF00AFA" w14:textId="77777777">
        <w:trPr>
          <w:cantSplit/>
          <w:tblHeader/>
        </w:trPr>
        <w:tc>
          <w:tcPr>
            <w:tcW w:w="3626" w:type="dxa"/>
            <w:shd w:val="clear" w:color="auto" w:fill="D9E2F3"/>
            <w:vAlign w:val="center"/>
          </w:tcPr>
          <w:p w14:paraId="4135A0E4" w14:textId="77777777" w:rsidR="00542E2F" w:rsidRPr="00542E2F" w:rsidRDefault="00542E2F" w:rsidP="00542E2F">
            <w:pPr>
              <w:keepNext/>
              <w:spacing w:before="0" w:after="0" w:line="259" w:lineRule="auto"/>
              <w:rPr>
                <w:b/>
                <w:bCs/>
              </w:rPr>
            </w:pPr>
            <w:r>
              <w:rPr>
                <w:b/>
                <w:bCs/>
                <w:sz w:val="21"/>
                <w:szCs w:val="21"/>
              </w:rPr>
              <w:t>Particulars</w:t>
            </w:r>
          </w:p>
        </w:tc>
        <w:tc>
          <w:tcPr>
            <w:tcW w:w="1800" w:type="dxa"/>
            <w:shd w:val="clear" w:color="auto" w:fill="D9E2F3"/>
            <w:vAlign w:val="center"/>
          </w:tcPr>
          <w:p w14:paraId="416A3082" w14:textId="77777777" w:rsidR="00542E2F" w:rsidRPr="00542E2F" w:rsidRDefault="00542E2F" w:rsidP="00542E2F">
            <w:pPr>
              <w:keepNext/>
              <w:spacing w:before="0" w:after="0" w:line="259" w:lineRule="auto"/>
              <w:jc w:val="right"/>
              <w:rPr>
                <w:b/>
                <w:bCs/>
              </w:rPr>
            </w:pPr>
            <w:r>
              <w:rPr>
                <w:b/>
                <w:bCs/>
                <w:sz w:val="21"/>
                <w:szCs w:val="21"/>
              </w:rPr>
              <w:t>FY2023–24</w:t>
            </w:r>
          </w:p>
        </w:tc>
        <w:tc>
          <w:tcPr>
            <w:tcW w:w="1800" w:type="dxa"/>
            <w:shd w:val="clear" w:color="auto" w:fill="D9E2F3"/>
            <w:vAlign w:val="center"/>
          </w:tcPr>
          <w:p w14:paraId="21D3B15D" w14:textId="77777777" w:rsidR="00542E2F" w:rsidRPr="00542E2F" w:rsidRDefault="00542E2F" w:rsidP="00542E2F">
            <w:pPr>
              <w:keepNext/>
              <w:spacing w:before="0" w:after="0" w:line="259" w:lineRule="auto"/>
              <w:jc w:val="right"/>
              <w:rPr>
                <w:b/>
                <w:bCs/>
              </w:rPr>
            </w:pPr>
            <w:r>
              <w:rPr>
                <w:b/>
                <w:bCs/>
                <w:sz w:val="21"/>
                <w:szCs w:val="21"/>
              </w:rPr>
              <w:t>FY2024–25</w:t>
            </w:r>
          </w:p>
        </w:tc>
        <w:tc>
          <w:tcPr>
            <w:tcW w:w="1800" w:type="dxa"/>
            <w:shd w:val="clear" w:color="auto" w:fill="D9E2F3"/>
            <w:vAlign w:val="center"/>
          </w:tcPr>
          <w:p w14:paraId="5147F0DC" w14:textId="77777777" w:rsidR="00542E2F" w:rsidRPr="00542E2F" w:rsidRDefault="00542E2F" w:rsidP="00542E2F">
            <w:pPr>
              <w:keepNext/>
              <w:spacing w:before="0" w:after="0" w:line="259" w:lineRule="auto"/>
              <w:jc w:val="right"/>
              <w:rPr>
                <w:b/>
                <w:bCs/>
              </w:rPr>
            </w:pPr>
            <w:r>
              <w:rPr>
                <w:b/>
                <w:bCs/>
                <w:sz w:val="21"/>
                <w:szCs w:val="21"/>
              </w:rPr>
              <w:t>FY2025–26</w:t>
            </w:r>
          </w:p>
        </w:tc>
      </w:tr>
      <w:tr w:rsidR="00542E2F" w:rsidRPr="00542E2F" w14:paraId="1E84F007" w14:textId="77777777">
        <w:trPr>
          <w:cantSplit/>
        </w:trPr>
        <w:tc>
          <w:tcPr>
            <w:tcW w:w="3626" w:type="dxa"/>
            <w:vAlign w:val="center"/>
          </w:tcPr>
          <w:p w14:paraId="46E1F79B" w14:textId="77777777" w:rsidR="00542E2F" w:rsidRPr="00542E2F" w:rsidRDefault="00542E2F" w:rsidP="00542E2F">
            <w:pPr>
              <w:keepNext/>
              <w:spacing w:before="0" w:after="0" w:line="259" w:lineRule="auto"/>
            </w:pPr>
            <w:r>
              <w:rPr>
                <w:sz w:val="21"/>
                <w:szCs w:val="21"/>
              </w:rPr>
              <w:t>Revenue</w:t>
            </w:r>
          </w:p>
        </w:tc>
        <w:tc>
          <w:tcPr>
            <w:tcW w:w="1800" w:type="dxa"/>
            <w:vAlign w:val="center"/>
          </w:tcPr>
          <w:p w14:paraId="65E4C687" w14:textId="77777777" w:rsidR="00542E2F" w:rsidRPr="00542E2F" w:rsidRDefault="00542E2F" w:rsidP="00542E2F">
            <w:pPr>
              <w:keepNext/>
              <w:spacing w:before="0" w:after="0" w:line="259" w:lineRule="auto"/>
              <w:jc w:val="right"/>
            </w:pPr>
            <w:r>
              <w:rPr>
                <w:sz w:val="21"/>
                <w:szCs w:val="21"/>
              </w:rPr>
              <w:t>153,670</w:t>
            </w:r>
          </w:p>
        </w:tc>
        <w:tc>
          <w:tcPr>
            <w:tcW w:w="1800" w:type="dxa"/>
            <w:vAlign w:val="center"/>
          </w:tcPr>
          <w:p w14:paraId="14A1255A" w14:textId="77777777" w:rsidR="00542E2F" w:rsidRPr="00542E2F" w:rsidRDefault="00542E2F" w:rsidP="00542E2F">
            <w:pPr>
              <w:keepNext/>
              <w:spacing w:before="0" w:after="0" w:line="259" w:lineRule="auto"/>
              <w:jc w:val="right"/>
            </w:pPr>
            <w:r>
              <w:rPr>
                <w:sz w:val="21"/>
                <w:szCs w:val="21"/>
              </w:rPr>
              <w:t>162,990</w:t>
            </w:r>
          </w:p>
        </w:tc>
        <w:tc>
          <w:tcPr>
            <w:tcW w:w="1800" w:type="dxa"/>
            <w:vAlign w:val="center"/>
          </w:tcPr>
          <w:p w14:paraId="0522AE4A" w14:textId="77777777" w:rsidR="00542E2F" w:rsidRPr="00542E2F" w:rsidRDefault="00542E2F" w:rsidP="00542E2F">
            <w:pPr>
              <w:keepNext/>
              <w:spacing w:before="0" w:after="0" w:line="259" w:lineRule="auto"/>
              <w:jc w:val="right"/>
            </w:pPr>
            <w:r>
              <w:rPr>
                <w:sz w:val="21"/>
                <w:szCs w:val="21"/>
              </w:rPr>
              <w:t>178,650</w:t>
            </w:r>
          </w:p>
        </w:tc>
      </w:tr>
      <w:tr w:rsidR="00542E2F" w:rsidRPr="00542E2F" w14:paraId="2C7A4A77" w14:textId="77777777">
        <w:trPr>
          <w:cantSplit/>
        </w:trPr>
        <w:tc>
          <w:tcPr>
            <w:tcW w:w="3626" w:type="dxa"/>
            <w:vAlign w:val="center"/>
          </w:tcPr>
          <w:p w14:paraId="6CF8F749" w14:textId="77777777" w:rsidR="00542E2F" w:rsidRPr="00542E2F" w:rsidRDefault="00542E2F" w:rsidP="00542E2F">
            <w:pPr>
              <w:keepNext/>
              <w:spacing w:before="0" w:after="0" w:line="259" w:lineRule="auto"/>
            </w:pPr>
            <w:r>
              <w:rPr>
                <w:sz w:val="21"/>
                <w:szCs w:val="21"/>
              </w:rPr>
              <w:t>Operating Profit</w:t>
            </w:r>
          </w:p>
        </w:tc>
        <w:tc>
          <w:tcPr>
            <w:tcW w:w="1800" w:type="dxa"/>
            <w:vAlign w:val="center"/>
          </w:tcPr>
          <w:p w14:paraId="263394F2" w14:textId="77777777" w:rsidR="00542E2F" w:rsidRPr="00542E2F" w:rsidRDefault="00542E2F" w:rsidP="00542E2F">
            <w:pPr>
              <w:keepNext/>
              <w:spacing w:before="0" w:after="0" w:line="259" w:lineRule="auto"/>
              <w:jc w:val="right"/>
            </w:pPr>
            <w:r>
              <w:rPr>
                <w:sz w:val="21"/>
                <w:szCs w:val="21"/>
              </w:rPr>
              <w:t>31,747</w:t>
            </w:r>
          </w:p>
        </w:tc>
        <w:tc>
          <w:tcPr>
            <w:tcW w:w="1800" w:type="dxa"/>
            <w:vAlign w:val="center"/>
          </w:tcPr>
          <w:p w14:paraId="23E5D145" w14:textId="77777777" w:rsidR="00542E2F" w:rsidRPr="00542E2F" w:rsidRDefault="00542E2F" w:rsidP="00542E2F">
            <w:pPr>
              <w:keepNext/>
              <w:spacing w:before="0" w:after="0" w:line="259" w:lineRule="auto"/>
              <w:jc w:val="right"/>
            </w:pPr>
            <w:r>
              <w:rPr>
                <w:sz w:val="21"/>
                <w:szCs w:val="21"/>
              </w:rPr>
              <w:t>34,424</w:t>
            </w:r>
          </w:p>
        </w:tc>
        <w:tc>
          <w:tcPr>
            <w:tcW w:w="1800" w:type="dxa"/>
            <w:vAlign w:val="center"/>
          </w:tcPr>
          <w:p w14:paraId="429A173D" w14:textId="77777777" w:rsidR="00542E2F" w:rsidRPr="00542E2F" w:rsidRDefault="00542E2F" w:rsidP="00542E2F">
            <w:pPr>
              <w:keepNext/>
              <w:spacing w:before="0" w:after="0" w:line="259" w:lineRule="auto"/>
              <w:jc w:val="right"/>
            </w:pPr>
            <w:r>
              <w:rPr>
                <w:sz w:val="21"/>
                <w:szCs w:val="21"/>
              </w:rPr>
              <w:t>36,254</w:t>
            </w:r>
          </w:p>
        </w:tc>
      </w:tr>
      <w:tr w:rsidR="00542E2F" w:rsidRPr="00542E2F" w14:paraId="048365E7" w14:textId="77777777">
        <w:trPr>
          <w:cantSplit/>
        </w:trPr>
        <w:tc>
          <w:tcPr>
            <w:tcW w:w="3626" w:type="dxa"/>
            <w:vAlign w:val="center"/>
          </w:tcPr>
          <w:p w14:paraId="6A877FC2" w14:textId="77777777" w:rsidR="00542E2F" w:rsidRPr="00542E2F" w:rsidRDefault="00542E2F" w:rsidP="00542E2F">
            <w:pPr>
              <w:spacing w:before="0" w:after="0" w:line="259" w:lineRule="auto"/>
            </w:pPr>
            <w:r>
              <w:rPr>
                <w:sz w:val="21"/>
                <w:szCs w:val="21"/>
              </w:rPr>
              <w:t>Net Profit</w:t>
            </w:r>
          </w:p>
        </w:tc>
        <w:tc>
          <w:tcPr>
            <w:tcW w:w="1800" w:type="dxa"/>
            <w:vAlign w:val="center"/>
          </w:tcPr>
          <w:p w14:paraId="6B3D2F15" w14:textId="77777777" w:rsidR="00542E2F" w:rsidRPr="00542E2F" w:rsidRDefault="00542E2F" w:rsidP="00542E2F">
            <w:pPr>
              <w:spacing w:before="0" w:after="0" w:line="259" w:lineRule="auto"/>
              <w:jc w:val="right"/>
            </w:pPr>
            <w:r>
              <w:rPr>
                <w:sz w:val="21"/>
                <w:szCs w:val="21"/>
              </w:rPr>
              <w:t>26,248</w:t>
            </w:r>
          </w:p>
        </w:tc>
        <w:tc>
          <w:tcPr>
            <w:tcW w:w="1800" w:type="dxa"/>
            <w:vAlign w:val="center"/>
          </w:tcPr>
          <w:p w14:paraId="25443144" w14:textId="77777777" w:rsidR="00542E2F" w:rsidRPr="00542E2F" w:rsidRDefault="00542E2F" w:rsidP="00542E2F">
            <w:pPr>
              <w:spacing w:before="0" w:after="0" w:line="259" w:lineRule="auto"/>
              <w:jc w:val="right"/>
            </w:pPr>
            <w:r>
              <w:rPr>
                <w:sz w:val="21"/>
                <w:szCs w:val="21"/>
              </w:rPr>
              <w:t>26,750</w:t>
            </w:r>
          </w:p>
        </w:tc>
        <w:tc>
          <w:tcPr>
            <w:tcW w:w="1800" w:type="dxa"/>
            <w:vAlign w:val="center"/>
          </w:tcPr>
          <w:p w14:paraId="4422C243" w14:textId="77777777" w:rsidR="00542E2F" w:rsidRPr="00542E2F" w:rsidRDefault="00542E2F" w:rsidP="00542E2F">
            <w:pPr>
              <w:spacing w:before="0" w:after="0" w:line="259" w:lineRule="auto"/>
              <w:jc w:val="right"/>
            </w:pPr>
            <w:r>
              <w:rPr>
                <w:sz w:val="21"/>
                <w:szCs w:val="21"/>
              </w:rPr>
              <w:t>29,474</w:t>
            </w:r>
          </w:p>
        </w:tc>
      </w:tr>
    </w:tbl>
    <w:p w14:paraId="3FE8EF10" w14:textId="77777777" w:rsidR="00542E2F" w:rsidRPr="00542E2F" w:rsidRDefault="00542E2F" w:rsidP="00542E2F">
      <w:pPr>
        <w:keepNext/>
        <w:spacing w:before="160"/>
      </w:pPr>
      <w:r>
        <w:rPr>
          <w:b/>
          <w:bCs/>
        </w:rPr>
        <w:t>Key observations:</w:t>
      </w:r>
    </w:p>
    <w:p w14:paraId="66280FBA" w14:textId="77777777" w:rsidR="00542E2F" w:rsidRPr="00542E2F" w:rsidRDefault="00542E2F" w:rsidP="00542E2F">
      <w:pPr>
        <w:numPr>
          <w:ilvl w:val="0"/>
          <w:numId w:val="4"/>
        </w:numPr>
      </w:pPr>
      <w:r>
        <w:rPr>
          <w:b/>
          <w:bCs/>
        </w:rPr>
        <w:t>Revenue growth:</w:t>
      </w:r>
      <w:r>
        <w:t xml:space="preserve"> Revenue increased from ₹153,670 crore in FY2023–24 to ₹178,650 crore in FY2025–26. </w:t>
      </w:r>
    </w:p>
    <w:p w14:paraId="29F04763" w14:textId="77777777" w:rsidR="00542E2F" w:rsidRPr="00542E2F" w:rsidRDefault="00542E2F" w:rsidP="00542E2F">
      <w:pPr>
        <w:numPr>
          <w:ilvl w:val="0"/>
          <w:numId w:val="4"/>
        </w:numPr>
      </w:pPr>
      <w:r>
        <w:rPr>
          <w:b/>
          <w:bCs/>
        </w:rPr>
        <w:t>Operating profit:</w:t>
      </w:r>
      <w:r>
        <w:t xml:space="preserve"> Operating profit increased from ₹31,747 crore to ₹36,254 crore over the three-year period. </w:t>
      </w:r>
    </w:p>
    <w:p w14:paraId="01EF5B43" w14:textId="77777777" w:rsidR="00542E2F" w:rsidRPr="00542E2F" w:rsidRDefault="00542E2F" w:rsidP="00542E2F">
      <w:pPr>
        <w:numPr>
          <w:ilvl w:val="0"/>
          <w:numId w:val="4"/>
        </w:numPr>
      </w:pPr>
      <w:r>
        <w:rPr>
          <w:b/>
          <w:bCs/>
        </w:rPr>
        <w:t>Net profit:</w:t>
      </w:r>
      <w:r>
        <w:t xml:space="preserve"> Net profit rose from ₹26,248 crore to ₹29,474 crore. </w:t>
      </w:r>
    </w:p>
    <w:p w14:paraId="568CD8F4" w14:textId="77777777" w:rsidR="00542E2F" w:rsidRPr="00542E2F" w:rsidRDefault="00542E2F" w:rsidP="00542E2F">
      <w:pPr>
        <w:numPr>
          <w:ilvl w:val="0"/>
          <w:numId w:val="4"/>
        </w:numPr>
      </w:pPr>
      <w:r>
        <w:rPr>
          <w:b/>
          <w:bCs/>
        </w:rPr>
        <w:t>FY2025–26 growth:</w:t>
      </w:r>
      <w:r>
        <w:t xml:space="preserve"> Revenue increased by approximately 9.61%, operating profit by 5.32%, and net profit by 10.18% compared with FY2024–25. </w:t>
      </w:r>
    </w:p>
    <w:p w14:paraId="746BEAA5" w14:textId="77777777" w:rsidR="00542E2F" w:rsidRPr="00542E2F" w:rsidRDefault="00542E2F" w:rsidP="00542E2F">
      <w:r>
        <w:t>These figures indicate growth in revenue and profit over the period. However, the different growth rates show why analysts should examine profitability margins alongside revenue.</w:t>
      </w:r>
    </w:p>
    <w:p w14:paraId="6B15C342" w14:textId="77777777" w:rsidR="00542E2F" w:rsidRPr="00542E2F" w:rsidRDefault="00542E2F" w:rsidP="00542E2F">
      <w:pPr>
        <w:pStyle w:val="Heading2"/>
        <w:rPr>
          <w:b/>
          <w:bCs/>
        </w:rPr>
      </w:pPr>
      <w:r>
        <w:rPr>
          <w:b/>
          <w:bCs/>
        </w:rPr>
        <w:t>4.2 Profitability Margins</w:t>
      </w:r>
    </w:p>
    <w:p w14:paraId="3CF0BCFA" w14:textId="77777777" w:rsidR="00542E2F" w:rsidRPr="00542E2F" w:rsidRDefault="00542E2F" w:rsidP="00542E2F">
      <w:pPr>
        <w:keepNext/>
      </w:pPr>
      <w:r>
        <w:t>Profitability margins show how much operating profit or net profit the company generates relative to its revenue.</w:t>
      </w:r>
    </w:p>
    <w:p w14:paraId="6429A427" w14:textId="77777777" w:rsidR="00542E2F" w:rsidRPr="00542E2F" w:rsidRDefault="00542E2F" w:rsidP="00542E2F">
      <w:pPr>
        <w:keepNext/>
      </w:pPr>
      <w:r>
        <w:rPr>
          <w:b/>
          <w:bCs/>
        </w:rPr>
        <w:t>Profitability Margins (%)</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3026"/>
        <w:gridCol w:w="3000"/>
        <w:gridCol w:w="3000"/>
      </w:tblGrid>
      <w:tr w:rsidR="00542E2F" w:rsidRPr="00542E2F" w14:paraId="2B52E20E" w14:textId="77777777">
        <w:trPr>
          <w:cantSplit/>
          <w:tblHeader/>
        </w:trPr>
        <w:tc>
          <w:tcPr>
            <w:tcW w:w="3026" w:type="dxa"/>
            <w:shd w:val="clear" w:color="auto" w:fill="D9E2F3"/>
            <w:vAlign w:val="center"/>
          </w:tcPr>
          <w:p w14:paraId="7A8EA25A" w14:textId="77777777" w:rsidR="00542E2F" w:rsidRPr="00542E2F" w:rsidRDefault="00542E2F" w:rsidP="00542E2F">
            <w:pPr>
              <w:keepNext/>
              <w:spacing w:before="0" w:after="0" w:line="259" w:lineRule="auto"/>
              <w:rPr>
                <w:b/>
                <w:bCs/>
              </w:rPr>
            </w:pPr>
            <w:r>
              <w:rPr>
                <w:b/>
                <w:bCs/>
                <w:sz w:val="21"/>
                <w:szCs w:val="21"/>
              </w:rPr>
              <w:t>Financial Year</w:t>
            </w:r>
          </w:p>
        </w:tc>
        <w:tc>
          <w:tcPr>
            <w:tcW w:w="3000" w:type="dxa"/>
            <w:shd w:val="clear" w:color="auto" w:fill="D9E2F3"/>
            <w:vAlign w:val="center"/>
          </w:tcPr>
          <w:p w14:paraId="4CF7473D" w14:textId="77777777" w:rsidR="00542E2F" w:rsidRPr="00542E2F" w:rsidRDefault="00542E2F" w:rsidP="00542E2F">
            <w:pPr>
              <w:keepNext/>
              <w:spacing w:before="0" w:after="0" w:line="259" w:lineRule="auto"/>
              <w:jc w:val="right"/>
              <w:rPr>
                <w:b/>
                <w:bCs/>
              </w:rPr>
            </w:pPr>
            <w:r>
              <w:rPr>
                <w:b/>
                <w:bCs/>
                <w:sz w:val="21"/>
                <w:szCs w:val="21"/>
              </w:rPr>
              <w:t>Operating Margin</w:t>
            </w:r>
          </w:p>
        </w:tc>
        <w:tc>
          <w:tcPr>
            <w:tcW w:w="3000" w:type="dxa"/>
            <w:shd w:val="clear" w:color="auto" w:fill="D9E2F3"/>
            <w:vAlign w:val="center"/>
          </w:tcPr>
          <w:p w14:paraId="4574C268" w14:textId="77777777" w:rsidR="00542E2F" w:rsidRPr="00542E2F" w:rsidRDefault="00542E2F" w:rsidP="00542E2F">
            <w:pPr>
              <w:keepNext/>
              <w:spacing w:before="0" w:after="0" w:line="259" w:lineRule="auto"/>
              <w:jc w:val="right"/>
              <w:rPr>
                <w:b/>
                <w:bCs/>
              </w:rPr>
            </w:pPr>
            <w:r>
              <w:rPr>
                <w:b/>
                <w:bCs/>
                <w:sz w:val="21"/>
                <w:szCs w:val="21"/>
              </w:rPr>
              <w:t>Net Profit Margin</w:t>
            </w:r>
          </w:p>
        </w:tc>
      </w:tr>
      <w:tr w:rsidR="00542E2F" w:rsidRPr="00542E2F" w14:paraId="28EF0A51" w14:textId="77777777">
        <w:trPr>
          <w:cantSplit/>
        </w:trPr>
        <w:tc>
          <w:tcPr>
            <w:tcW w:w="3026" w:type="dxa"/>
            <w:vAlign w:val="center"/>
          </w:tcPr>
          <w:p w14:paraId="25B6F77F" w14:textId="77777777" w:rsidR="00542E2F" w:rsidRPr="00542E2F" w:rsidRDefault="00542E2F" w:rsidP="00542E2F">
            <w:pPr>
              <w:keepNext/>
              <w:spacing w:before="0" w:after="0" w:line="259" w:lineRule="auto"/>
            </w:pPr>
            <w:r>
              <w:rPr>
                <w:sz w:val="21"/>
                <w:szCs w:val="21"/>
              </w:rPr>
              <w:t>FY2023–24</w:t>
            </w:r>
          </w:p>
        </w:tc>
        <w:tc>
          <w:tcPr>
            <w:tcW w:w="3000" w:type="dxa"/>
            <w:vAlign w:val="center"/>
          </w:tcPr>
          <w:p w14:paraId="774196C1" w14:textId="77777777" w:rsidR="00542E2F" w:rsidRPr="00542E2F" w:rsidRDefault="00542E2F" w:rsidP="00542E2F">
            <w:pPr>
              <w:keepNext/>
              <w:spacing w:before="0" w:after="0" w:line="259" w:lineRule="auto"/>
              <w:jc w:val="right"/>
            </w:pPr>
            <w:r>
              <w:rPr>
                <w:sz w:val="21"/>
                <w:szCs w:val="21"/>
              </w:rPr>
              <w:t>20.66%</w:t>
            </w:r>
          </w:p>
        </w:tc>
        <w:tc>
          <w:tcPr>
            <w:tcW w:w="3000" w:type="dxa"/>
            <w:vAlign w:val="center"/>
          </w:tcPr>
          <w:p w14:paraId="2A415F3A" w14:textId="77777777" w:rsidR="00542E2F" w:rsidRPr="00542E2F" w:rsidRDefault="00542E2F" w:rsidP="00542E2F">
            <w:pPr>
              <w:keepNext/>
              <w:spacing w:before="0" w:after="0" w:line="259" w:lineRule="auto"/>
              <w:jc w:val="right"/>
            </w:pPr>
            <w:r>
              <w:rPr>
                <w:sz w:val="21"/>
                <w:szCs w:val="21"/>
              </w:rPr>
              <w:t>17.08%</w:t>
            </w:r>
          </w:p>
        </w:tc>
      </w:tr>
      <w:tr w:rsidR="00542E2F" w:rsidRPr="00542E2F" w14:paraId="0591E715" w14:textId="77777777">
        <w:trPr>
          <w:cantSplit/>
        </w:trPr>
        <w:tc>
          <w:tcPr>
            <w:tcW w:w="3026" w:type="dxa"/>
            <w:vAlign w:val="center"/>
          </w:tcPr>
          <w:p w14:paraId="756B7B85" w14:textId="77777777" w:rsidR="00542E2F" w:rsidRPr="00542E2F" w:rsidRDefault="00542E2F" w:rsidP="00542E2F">
            <w:pPr>
              <w:keepNext/>
              <w:spacing w:before="0" w:after="0" w:line="259" w:lineRule="auto"/>
            </w:pPr>
            <w:r>
              <w:rPr>
                <w:sz w:val="21"/>
                <w:szCs w:val="21"/>
              </w:rPr>
              <w:t>FY2024–25</w:t>
            </w:r>
          </w:p>
        </w:tc>
        <w:tc>
          <w:tcPr>
            <w:tcW w:w="3000" w:type="dxa"/>
            <w:vAlign w:val="center"/>
          </w:tcPr>
          <w:p w14:paraId="376EA310" w14:textId="77777777" w:rsidR="00542E2F" w:rsidRPr="00542E2F" w:rsidRDefault="00542E2F" w:rsidP="00542E2F">
            <w:pPr>
              <w:keepNext/>
              <w:spacing w:before="0" w:after="0" w:line="259" w:lineRule="auto"/>
              <w:jc w:val="right"/>
            </w:pPr>
            <w:r>
              <w:rPr>
                <w:sz w:val="21"/>
                <w:szCs w:val="21"/>
              </w:rPr>
              <w:t>21.12%</w:t>
            </w:r>
          </w:p>
        </w:tc>
        <w:tc>
          <w:tcPr>
            <w:tcW w:w="3000" w:type="dxa"/>
            <w:vAlign w:val="center"/>
          </w:tcPr>
          <w:p w14:paraId="2A727F7F" w14:textId="77777777" w:rsidR="00542E2F" w:rsidRPr="00542E2F" w:rsidRDefault="00542E2F" w:rsidP="00542E2F">
            <w:pPr>
              <w:keepNext/>
              <w:spacing w:before="0" w:after="0" w:line="259" w:lineRule="auto"/>
              <w:jc w:val="right"/>
            </w:pPr>
            <w:r>
              <w:rPr>
                <w:sz w:val="21"/>
                <w:szCs w:val="21"/>
              </w:rPr>
              <w:t>16.41%</w:t>
            </w:r>
          </w:p>
        </w:tc>
      </w:tr>
      <w:tr w:rsidR="00542E2F" w:rsidRPr="00542E2F" w14:paraId="241B4892" w14:textId="77777777">
        <w:trPr>
          <w:cantSplit/>
        </w:trPr>
        <w:tc>
          <w:tcPr>
            <w:tcW w:w="3026" w:type="dxa"/>
            <w:vAlign w:val="center"/>
          </w:tcPr>
          <w:p w14:paraId="495AD018" w14:textId="77777777" w:rsidR="00542E2F" w:rsidRPr="00542E2F" w:rsidRDefault="00542E2F" w:rsidP="00542E2F">
            <w:pPr>
              <w:spacing w:before="0" w:after="0" w:line="259" w:lineRule="auto"/>
            </w:pPr>
            <w:r>
              <w:rPr>
                <w:sz w:val="21"/>
                <w:szCs w:val="21"/>
              </w:rPr>
              <w:t>FY2025–26</w:t>
            </w:r>
          </w:p>
        </w:tc>
        <w:tc>
          <w:tcPr>
            <w:tcW w:w="3000" w:type="dxa"/>
            <w:vAlign w:val="center"/>
          </w:tcPr>
          <w:p w14:paraId="3BEDFCCA" w14:textId="77777777" w:rsidR="00542E2F" w:rsidRPr="00542E2F" w:rsidRDefault="00542E2F" w:rsidP="00542E2F">
            <w:pPr>
              <w:spacing w:before="0" w:after="0" w:line="259" w:lineRule="auto"/>
              <w:jc w:val="right"/>
            </w:pPr>
            <w:r>
              <w:rPr>
                <w:sz w:val="21"/>
                <w:szCs w:val="21"/>
              </w:rPr>
              <w:t>20.29%</w:t>
            </w:r>
          </w:p>
        </w:tc>
        <w:tc>
          <w:tcPr>
            <w:tcW w:w="3000" w:type="dxa"/>
            <w:vAlign w:val="center"/>
          </w:tcPr>
          <w:p w14:paraId="3407A395" w14:textId="77777777" w:rsidR="00542E2F" w:rsidRPr="00542E2F" w:rsidRDefault="00542E2F" w:rsidP="00542E2F">
            <w:pPr>
              <w:spacing w:before="0" w:after="0" w:line="259" w:lineRule="auto"/>
              <w:jc w:val="right"/>
            </w:pPr>
            <w:r>
              <w:rPr>
                <w:sz w:val="21"/>
                <w:szCs w:val="21"/>
              </w:rPr>
              <w:t>16.50%</w:t>
            </w:r>
          </w:p>
        </w:tc>
      </w:tr>
    </w:tbl>
    <w:p w14:paraId="45BBE0C8" w14:textId="77777777" w:rsidR="00542E2F" w:rsidRPr="00542E2F" w:rsidRDefault="00542E2F" w:rsidP="00542E2F">
      <w:pPr>
        <w:keepNext/>
        <w:spacing w:before="160"/>
      </w:pPr>
      <w:r>
        <w:rPr>
          <w:b/>
          <w:bCs/>
        </w:rPr>
        <w:t>Key observations:</w:t>
      </w:r>
    </w:p>
    <w:p w14:paraId="53AB2708" w14:textId="77777777" w:rsidR="00542E2F" w:rsidRPr="00542E2F" w:rsidRDefault="00542E2F" w:rsidP="00542E2F">
      <w:pPr>
        <w:numPr>
          <w:ilvl w:val="0"/>
          <w:numId w:val="5"/>
        </w:numPr>
      </w:pPr>
      <w:r>
        <w:t xml:space="preserve">The operating margin decreased from 21.12% in FY2024–25 to 20.29% in FY2025–26. </w:t>
      </w:r>
    </w:p>
    <w:p w14:paraId="68053798" w14:textId="77777777" w:rsidR="00542E2F" w:rsidRPr="00542E2F" w:rsidRDefault="00542E2F" w:rsidP="00542E2F">
      <w:pPr>
        <w:numPr>
          <w:ilvl w:val="0"/>
          <w:numId w:val="5"/>
        </w:numPr>
      </w:pPr>
      <w:r>
        <w:t xml:space="preserve">The net profit margin increased slightly from 16.41% to 16.50% during the same period. </w:t>
      </w:r>
    </w:p>
    <w:p w14:paraId="2B32AC52" w14:textId="77777777" w:rsidR="00542E2F" w:rsidRPr="00542E2F" w:rsidRDefault="00542E2F" w:rsidP="00542E2F">
      <w:pPr>
        <w:numPr>
          <w:ilvl w:val="0"/>
          <w:numId w:val="5"/>
        </w:numPr>
      </w:pPr>
      <w:r>
        <w:t xml:space="preserve">This suggests that revenue and profits grew, although operating profitability as a percentage of revenue declined slightly. </w:t>
      </w:r>
    </w:p>
    <w:p w14:paraId="5209810E" w14:textId="77777777" w:rsidR="00542E2F" w:rsidRPr="00542E2F" w:rsidRDefault="00542E2F" w:rsidP="00542E2F">
      <w:r>
        <w:rPr>
          <w:i/>
          <w:iCs/>
        </w:rPr>
        <w:t>Note: Margins are calculated using operating profit or net profit divided by revenue.</w:t>
      </w:r>
    </w:p>
    <w:p w14:paraId="66928292" w14:textId="77777777" w:rsidR="00542E2F" w:rsidRPr="00542E2F" w:rsidRDefault="00542E2F" w:rsidP="00542E2F">
      <w:pPr>
        <w:pStyle w:val="Heading2"/>
        <w:rPr>
          <w:b/>
          <w:bCs/>
        </w:rPr>
      </w:pPr>
      <w:r>
        <w:rPr>
          <w:b/>
          <w:bCs/>
        </w:rPr>
        <w:t>4.3 Balance Sheet Analysis</w:t>
      </w:r>
    </w:p>
    <w:p w14:paraId="76F089AB" w14:textId="77777777" w:rsidR="00542E2F" w:rsidRPr="00542E2F" w:rsidRDefault="00542E2F" w:rsidP="00542E2F">
      <w:r>
        <w:t>The balance sheet provides information about a company’s assets, liabilities, and shareholders’ equity at a particular point in time. It helps analysts assess the company’s financial position and understand how its resources are financed.</w:t>
      </w:r>
    </w:p>
    <w:p w14:paraId="04DE6DDF" w14:textId="77777777" w:rsidR="00542E2F" w:rsidRPr="00542E2F" w:rsidRDefault="00542E2F" w:rsidP="00542E2F">
      <w:pPr>
        <w:keepNext/>
      </w:pPr>
      <w:r>
        <w:t>The following table presents selected balance sheet figures for Infosys Limited.</w:t>
      </w:r>
    </w:p>
    <w:p w14:paraId="6429A427" w14:textId="77777777" w:rsidR="00542E2F" w:rsidRPr="00542E2F" w:rsidRDefault="00542E2F" w:rsidP="00542E2F">
      <w:pPr>
        <w:keepNext/>
      </w:pPr>
      <w:r>
        <w:rPr>
          <w:b/>
          <w:bCs/>
        </w:rPr>
        <w:t>Selected Balance Sheet Figures (₹ crore)</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3626"/>
        <w:gridCol w:w="1800"/>
        <w:gridCol w:w="1800"/>
        <w:gridCol w:w="1800"/>
      </w:tblGrid>
      <w:tr w:rsidR="00542E2F" w:rsidRPr="00542E2F" w14:paraId="37A6F19C" w14:textId="77777777">
        <w:trPr>
          <w:cantSplit/>
          <w:tblHeader/>
        </w:trPr>
        <w:tc>
          <w:tcPr>
            <w:tcW w:w="3626" w:type="dxa"/>
            <w:shd w:val="clear" w:color="auto" w:fill="D9E2F3"/>
            <w:vAlign w:val="center"/>
          </w:tcPr>
          <w:p w14:paraId="2C8B6973" w14:textId="77777777" w:rsidR="00542E2F" w:rsidRPr="00542E2F" w:rsidRDefault="00542E2F" w:rsidP="00542E2F">
            <w:pPr>
              <w:keepNext/>
              <w:spacing w:before="0" w:after="0" w:line="259" w:lineRule="auto"/>
              <w:rPr>
                <w:b/>
                <w:bCs/>
              </w:rPr>
            </w:pPr>
            <w:r>
              <w:rPr>
                <w:b/>
                <w:bCs/>
                <w:sz w:val="21"/>
                <w:szCs w:val="21"/>
              </w:rPr>
              <w:t>Particulars</w:t>
            </w:r>
          </w:p>
        </w:tc>
        <w:tc>
          <w:tcPr>
            <w:tcW w:w="1800" w:type="dxa"/>
            <w:shd w:val="clear" w:color="auto" w:fill="D9E2F3"/>
            <w:vAlign w:val="center"/>
          </w:tcPr>
          <w:p w14:paraId="7B592F39" w14:textId="77777777" w:rsidR="00542E2F" w:rsidRPr="00542E2F" w:rsidRDefault="00542E2F" w:rsidP="00542E2F">
            <w:pPr>
              <w:keepNext/>
              <w:spacing w:before="0" w:after="0" w:line="259" w:lineRule="auto"/>
              <w:jc w:val="right"/>
              <w:rPr>
                <w:b/>
                <w:bCs/>
              </w:rPr>
            </w:pPr>
            <w:r>
              <w:rPr>
                <w:b/>
                <w:bCs/>
                <w:sz w:val="21"/>
                <w:szCs w:val="21"/>
              </w:rPr>
              <w:t>FY2023–24</w:t>
            </w:r>
          </w:p>
        </w:tc>
        <w:tc>
          <w:tcPr>
            <w:tcW w:w="1800" w:type="dxa"/>
            <w:shd w:val="clear" w:color="auto" w:fill="D9E2F3"/>
            <w:vAlign w:val="center"/>
          </w:tcPr>
          <w:p w14:paraId="2775A4BB" w14:textId="77777777" w:rsidR="00542E2F" w:rsidRPr="00542E2F" w:rsidRDefault="00542E2F" w:rsidP="00542E2F">
            <w:pPr>
              <w:keepNext/>
              <w:spacing w:before="0" w:after="0" w:line="259" w:lineRule="auto"/>
              <w:jc w:val="right"/>
              <w:rPr>
                <w:b/>
                <w:bCs/>
              </w:rPr>
            </w:pPr>
            <w:r>
              <w:rPr>
                <w:b/>
                <w:bCs/>
                <w:sz w:val="21"/>
                <w:szCs w:val="21"/>
              </w:rPr>
              <w:t>FY2024–25</w:t>
            </w:r>
          </w:p>
        </w:tc>
        <w:tc>
          <w:tcPr>
            <w:tcW w:w="1800" w:type="dxa"/>
            <w:shd w:val="clear" w:color="auto" w:fill="D9E2F3"/>
            <w:vAlign w:val="center"/>
          </w:tcPr>
          <w:p w14:paraId="673D59B2" w14:textId="77777777" w:rsidR="00542E2F" w:rsidRPr="00542E2F" w:rsidRDefault="00542E2F" w:rsidP="00542E2F">
            <w:pPr>
              <w:keepNext/>
              <w:spacing w:before="0" w:after="0" w:line="259" w:lineRule="auto"/>
              <w:jc w:val="right"/>
              <w:rPr>
                <w:b/>
                <w:bCs/>
              </w:rPr>
            </w:pPr>
            <w:r>
              <w:rPr>
                <w:b/>
                <w:bCs/>
                <w:sz w:val="21"/>
                <w:szCs w:val="21"/>
              </w:rPr>
              <w:t>FY2025–26</w:t>
            </w:r>
          </w:p>
        </w:tc>
      </w:tr>
      <w:tr w:rsidR="00542E2F" w:rsidRPr="00542E2F" w14:paraId="4C8D00D4" w14:textId="77777777">
        <w:trPr>
          <w:cantSplit/>
        </w:trPr>
        <w:tc>
          <w:tcPr>
            <w:tcW w:w="3626" w:type="dxa"/>
            <w:vAlign w:val="center"/>
          </w:tcPr>
          <w:p w14:paraId="1A8FAF63" w14:textId="77777777" w:rsidR="00542E2F" w:rsidRPr="00542E2F" w:rsidRDefault="00542E2F" w:rsidP="00542E2F">
            <w:pPr>
              <w:keepNext/>
              <w:spacing w:before="0" w:after="0" w:line="259" w:lineRule="auto"/>
            </w:pPr>
            <w:r>
              <w:rPr>
                <w:sz w:val="21"/>
                <w:szCs w:val="21"/>
              </w:rPr>
              <w:t>Cash and Cash Equivalents</w:t>
            </w:r>
          </w:p>
        </w:tc>
        <w:tc>
          <w:tcPr>
            <w:tcW w:w="1800" w:type="dxa"/>
            <w:vAlign w:val="center"/>
          </w:tcPr>
          <w:p w14:paraId="154827E8" w14:textId="77777777" w:rsidR="00542E2F" w:rsidRPr="00542E2F" w:rsidRDefault="00542E2F" w:rsidP="00542E2F">
            <w:pPr>
              <w:keepNext/>
              <w:spacing w:before="0" w:after="0" w:line="259" w:lineRule="auto"/>
              <w:jc w:val="right"/>
            </w:pPr>
            <w:r>
              <w:rPr>
                <w:sz w:val="21"/>
                <w:szCs w:val="21"/>
              </w:rPr>
              <w:t>14,786</w:t>
            </w:r>
          </w:p>
        </w:tc>
        <w:tc>
          <w:tcPr>
            <w:tcW w:w="1800" w:type="dxa"/>
            <w:vAlign w:val="center"/>
          </w:tcPr>
          <w:p w14:paraId="0C2FB8F0" w14:textId="77777777" w:rsidR="00542E2F" w:rsidRPr="00542E2F" w:rsidRDefault="00542E2F" w:rsidP="00542E2F">
            <w:pPr>
              <w:keepNext/>
              <w:spacing w:before="0" w:after="0" w:line="259" w:lineRule="auto"/>
              <w:jc w:val="right"/>
            </w:pPr>
            <w:r>
              <w:rPr>
                <w:sz w:val="21"/>
                <w:szCs w:val="21"/>
              </w:rPr>
              <w:t>24,455</w:t>
            </w:r>
          </w:p>
        </w:tc>
        <w:tc>
          <w:tcPr>
            <w:tcW w:w="1800" w:type="dxa"/>
            <w:vAlign w:val="center"/>
          </w:tcPr>
          <w:p w14:paraId="1DD697DF" w14:textId="77777777" w:rsidR="00542E2F" w:rsidRPr="00542E2F" w:rsidRDefault="00542E2F" w:rsidP="00542E2F">
            <w:pPr>
              <w:keepNext/>
              <w:spacing w:before="0" w:after="0" w:line="259" w:lineRule="auto"/>
              <w:jc w:val="right"/>
            </w:pPr>
            <w:r>
              <w:rPr>
                <w:sz w:val="21"/>
                <w:szCs w:val="21"/>
              </w:rPr>
              <w:t>22,201</w:t>
            </w:r>
          </w:p>
        </w:tc>
      </w:tr>
      <w:tr w:rsidR="00542E2F" w:rsidRPr="00542E2F" w14:paraId="4A32568F" w14:textId="77777777">
        <w:trPr>
          <w:cantSplit/>
        </w:trPr>
        <w:tc>
          <w:tcPr>
            <w:tcW w:w="3626" w:type="dxa"/>
            <w:vAlign w:val="center"/>
          </w:tcPr>
          <w:p w14:paraId="5865B568" w14:textId="77777777" w:rsidR="00542E2F" w:rsidRPr="00542E2F" w:rsidRDefault="00542E2F" w:rsidP="00542E2F">
            <w:pPr>
              <w:keepNext/>
              <w:spacing w:before="0" w:after="0" w:line="259" w:lineRule="auto"/>
            </w:pPr>
            <w:r>
              <w:rPr>
                <w:sz w:val="21"/>
                <w:szCs w:val="21"/>
              </w:rPr>
              <w:t>Current Investments</w:t>
            </w:r>
          </w:p>
        </w:tc>
        <w:tc>
          <w:tcPr>
            <w:tcW w:w="1800" w:type="dxa"/>
            <w:vAlign w:val="center"/>
          </w:tcPr>
          <w:p w14:paraId="50ED424D" w14:textId="77777777" w:rsidR="00542E2F" w:rsidRPr="00542E2F" w:rsidRDefault="00542E2F" w:rsidP="00542E2F">
            <w:pPr>
              <w:keepNext/>
              <w:spacing w:before="0" w:after="0" w:line="259" w:lineRule="auto"/>
              <w:jc w:val="right"/>
            </w:pPr>
            <w:r>
              <w:rPr>
                <w:sz w:val="21"/>
                <w:szCs w:val="21"/>
              </w:rPr>
              <w:t>12,915</w:t>
            </w:r>
          </w:p>
        </w:tc>
        <w:tc>
          <w:tcPr>
            <w:tcW w:w="1800" w:type="dxa"/>
            <w:vAlign w:val="center"/>
          </w:tcPr>
          <w:p w14:paraId="391576EA" w14:textId="77777777" w:rsidR="00542E2F" w:rsidRPr="00542E2F" w:rsidRDefault="00542E2F" w:rsidP="00542E2F">
            <w:pPr>
              <w:keepNext/>
              <w:spacing w:before="0" w:after="0" w:line="259" w:lineRule="auto"/>
              <w:jc w:val="right"/>
            </w:pPr>
            <w:r>
              <w:rPr>
                <w:sz w:val="21"/>
                <w:szCs w:val="21"/>
              </w:rPr>
              <w:t>12,482</w:t>
            </w:r>
          </w:p>
        </w:tc>
        <w:tc>
          <w:tcPr>
            <w:tcW w:w="1800" w:type="dxa"/>
            <w:vAlign w:val="center"/>
          </w:tcPr>
          <w:p w14:paraId="077FBAEA" w14:textId="77777777" w:rsidR="00542E2F" w:rsidRPr="00542E2F" w:rsidRDefault="00542E2F" w:rsidP="00542E2F">
            <w:pPr>
              <w:keepNext/>
              <w:spacing w:before="0" w:after="0" w:line="259" w:lineRule="auto"/>
              <w:jc w:val="right"/>
            </w:pPr>
            <w:r>
              <w:rPr>
                <w:sz w:val="21"/>
                <w:szCs w:val="21"/>
              </w:rPr>
              <w:t>12,950</w:t>
            </w:r>
          </w:p>
        </w:tc>
      </w:tr>
      <w:tr w:rsidR="00542E2F" w:rsidRPr="00542E2F" w14:paraId="122758B6" w14:textId="77777777">
        <w:trPr>
          <w:cantSplit/>
        </w:trPr>
        <w:tc>
          <w:tcPr>
            <w:tcW w:w="3626" w:type="dxa"/>
            <w:vAlign w:val="center"/>
          </w:tcPr>
          <w:p w14:paraId="082F8498" w14:textId="77777777" w:rsidR="00542E2F" w:rsidRPr="00542E2F" w:rsidRDefault="00542E2F" w:rsidP="00542E2F">
            <w:pPr>
              <w:keepNext/>
              <w:spacing w:before="0" w:after="0" w:line="259" w:lineRule="auto"/>
            </w:pPr>
            <w:r>
              <w:rPr>
                <w:sz w:val="21"/>
                <w:szCs w:val="21"/>
              </w:rPr>
              <w:t>Net Current Assets (Working Capital)</w:t>
            </w:r>
          </w:p>
        </w:tc>
        <w:tc>
          <w:tcPr>
            <w:tcW w:w="1800" w:type="dxa"/>
            <w:vAlign w:val="center"/>
          </w:tcPr>
          <w:p w14:paraId="21FE6A20" w14:textId="77777777" w:rsidR="00542E2F" w:rsidRPr="00542E2F" w:rsidRDefault="00542E2F" w:rsidP="00542E2F">
            <w:pPr>
              <w:keepNext/>
              <w:spacing w:before="0" w:after="0" w:line="259" w:lineRule="auto"/>
              <w:jc w:val="right"/>
            </w:pPr>
            <w:r>
              <w:rPr>
                <w:sz w:val="21"/>
                <w:szCs w:val="21"/>
              </w:rPr>
              <w:t>50,638</w:t>
            </w:r>
          </w:p>
        </w:tc>
        <w:tc>
          <w:tcPr>
            <w:tcW w:w="1800" w:type="dxa"/>
            <w:vAlign w:val="center"/>
          </w:tcPr>
          <w:p w14:paraId="383A1C3A" w14:textId="77777777" w:rsidR="00542E2F" w:rsidRPr="00542E2F" w:rsidRDefault="00542E2F" w:rsidP="00542E2F">
            <w:pPr>
              <w:keepNext/>
              <w:spacing w:before="0" w:after="0" w:line="259" w:lineRule="auto"/>
              <w:jc w:val="right"/>
            </w:pPr>
            <w:r>
              <w:rPr>
                <w:sz w:val="21"/>
                <w:szCs w:val="21"/>
              </w:rPr>
              <w:t>54,249</w:t>
            </w:r>
          </w:p>
        </w:tc>
        <w:tc>
          <w:tcPr>
            <w:tcW w:w="1800" w:type="dxa"/>
            <w:vAlign w:val="center"/>
          </w:tcPr>
          <w:p w14:paraId="2859A54E" w14:textId="77777777" w:rsidR="00542E2F" w:rsidRPr="00542E2F" w:rsidRDefault="00542E2F" w:rsidP="00542E2F">
            <w:pPr>
              <w:keepNext/>
              <w:spacing w:before="0" w:after="0" w:line="259" w:lineRule="auto"/>
              <w:jc w:val="right"/>
            </w:pPr>
            <w:r>
              <w:rPr>
                <w:sz w:val="21"/>
                <w:szCs w:val="21"/>
              </w:rPr>
              <w:t>51,167</w:t>
            </w:r>
          </w:p>
        </w:tc>
      </w:tr>
      <w:tr w:rsidR="00542E2F" w:rsidRPr="00542E2F" w14:paraId="3833D0B4" w14:textId="77777777">
        <w:trPr>
          <w:cantSplit/>
        </w:trPr>
        <w:tc>
          <w:tcPr>
            <w:tcW w:w="3626" w:type="dxa"/>
            <w:vAlign w:val="center"/>
          </w:tcPr>
          <w:p w14:paraId="0A82FA83" w14:textId="77777777" w:rsidR="00542E2F" w:rsidRPr="00542E2F" w:rsidRDefault="00542E2F" w:rsidP="00542E2F">
            <w:pPr>
              <w:keepNext/>
              <w:spacing w:before="0" w:after="0" w:line="259" w:lineRule="auto"/>
            </w:pPr>
            <w:r>
              <w:rPr>
                <w:sz w:val="21"/>
                <w:szCs w:val="21"/>
              </w:rPr>
              <w:t>Non-current Assets</w:t>
            </w:r>
          </w:p>
        </w:tc>
        <w:tc>
          <w:tcPr>
            <w:tcW w:w="1800" w:type="dxa"/>
            <w:vAlign w:val="center"/>
          </w:tcPr>
          <w:p w14:paraId="5DD13680" w14:textId="77777777" w:rsidR="00542E2F" w:rsidRPr="00542E2F" w:rsidRDefault="00542E2F" w:rsidP="00542E2F">
            <w:pPr>
              <w:keepNext/>
              <w:spacing w:before="0" w:after="0" w:line="259" w:lineRule="auto"/>
              <w:jc w:val="right"/>
            </w:pPr>
            <w:r>
              <w:rPr>
                <w:sz w:val="21"/>
                <w:szCs w:val="21"/>
              </w:rPr>
              <w:t>48,382</w:t>
            </w:r>
          </w:p>
        </w:tc>
        <w:tc>
          <w:tcPr>
            <w:tcW w:w="1800" w:type="dxa"/>
            <w:vAlign w:val="center"/>
          </w:tcPr>
          <w:p w14:paraId="3E24AE35" w14:textId="77777777" w:rsidR="00542E2F" w:rsidRPr="00542E2F" w:rsidRDefault="00542E2F" w:rsidP="00542E2F">
            <w:pPr>
              <w:keepNext/>
              <w:spacing w:before="0" w:after="0" w:line="259" w:lineRule="auto"/>
              <w:jc w:val="right"/>
            </w:pPr>
            <w:r>
              <w:rPr>
                <w:sz w:val="21"/>
                <w:szCs w:val="21"/>
              </w:rPr>
              <w:t>51,804</w:t>
            </w:r>
          </w:p>
        </w:tc>
        <w:tc>
          <w:tcPr>
            <w:tcW w:w="1800" w:type="dxa"/>
            <w:vAlign w:val="center"/>
          </w:tcPr>
          <w:p w14:paraId="203BFBB3" w14:textId="77777777" w:rsidR="00542E2F" w:rsidRPr="00542E2F" w:rsidRDefault="00542E2F" w:rsidP="00542E2F">
            <w:pPr>
              <w:keepNext/>
              <w:spacing w:before="0" w:after="0" w:line="259" w:lineRule="auto"/>
              <w:jc w:val="right"/>
            </w:pPr>
            <w:r>
              <w:rPr>
                <w:sz w:val="21"/>
                <w:szCs w:val="21"/>
              </w:rPr>
              <w:t>52,478</w:t>
            </w:r>
          </w:p>
        </w:tc>
      </w:tr>
      <w:tr w:rsidR="00542E2F" w:rsidRPr="00542E2F" w14:paraId="26377857" w14:textId="77777777">
        <w:trPr>
          <w:cantSplit/>
        </w:trPr>
        <w:tc>
          <w:tcPr>
            <w:tcW w:w="3626" w:type="dxa"/>
            <w:vAlign w:val="center"/>
          </w:tcPr>
          <w:p w14:paraId="36DA5897" w14:textId="77777777" w:rsidR="00542E2F" w:rsidRPr="00542E2F" w:rsidRDefault="00542E2F" w:rsidP="00542E2F">
            <w:pPr>
              <w:keepNext/>
              <w:spacing w:before="0" w:after="0" w:line="259" w:lineRule="auto"/>
            </w:pPr>
            <w:r>
              <w:rPr>
                <w:sz w:val="21"/>
                <w:szCs w:val="21"/>
              </w:rPr>
              <w:t>Total Assets</w:t>
            </w:r>
          </w:p>
        </w:tc>
        <w:tc>
          <w:tcPr>
            <w:tcW w:w="1800" w:type="dxa"/>
            <w:vAlign w:val="center"/>
          </w:tcPr>
          <w:p w14:paraId="71857278" w14:textId="77777777" w:rsidR="00542E2F" w:rsidRPr="00542E2F" w:rsidRDefault="00542E2F" w:rsidP="00542E2F">
            <w:pPr>
              <w:keepNext/>
              <w:spacing w:before="0" w:after="0" w:line="259" w:lineRule="auto"/>
              <w:jc w:val="right"/>
            </w:pPr>
            <w:r>
              <w:rPr>
                <w:sz w:val="21"/>
                <w:szCs w:val="21"/>
              </w:rPr>
              <w:t>137,814</w:t>
            </w:r>
          </w:p>
        </w:tc>
        <w:tc>
          <w:tcPr>
            <w:tcW w:w="1800" w:type="dxa"/>
            <w:vAlign w:val="center"/>
          </w:tcPr>
          <w:p w14:paraId="278548BA" w14:textId="77777777" w:rsidR="00542E2F" w:rsidRPr="00542E2F" w:rsidRDefault="00542E2F" w:rsidP="00542E2F">
            <w:pPr>
              <w:keepNext/>
              <w:spacing w:before="0" w:after="0" w:line="259" w:lineRule="auto"/>
              <w:jc w:val="right"/>
            </w:pPr>
            <w:r>
              <w:rPr>
                <w:sz w:val="21"/>
                <w:szCs w:val="21"/>
              </w:rPr>
              <w:t>148,903</w:t>
            </w:r>
          </w:p>
        </w:tc>
        <w:tc>
          <w:tcPr>
            <w:tcW w:w="1800" w:type="dxa"/>
            <w:vAlign w:val="center"/>
          </w:tcPr>
          <w:p w14:paraId="3F43C709" w14:textId="77777777" w:rsidR="00542E2F" w:rsidRPr="00542E2F" w:rsidRDefault="00542E2F" w:rsidP="00542E2F">
            <w:pPr>
              <w:keepNext/>
              <w:spacing w:before="0" w:after="0" w:line="259" w:lineRule="auto"/>
              <w:jc w:val="right"/>
            </w:pPr>
            <w:r>
              <w:rPr>
                <w:sz w:val="21"/>
                <w:szCs w:val="21"/>
              </w:rPr>
              <w:t>155,967</w:t>
            </w:r>
          </w:p>
        </w:tc>
      </w:tr>
      <w:tr w:rsidR="00542E2F" w:rsidRPr="00542E2F" w14:paraId="0B9E2522" w14:textId="77777777">
        <w:trPr>
          <w:cantSplit/>
        </w:trPr>
        <w:tc>
          <w:tcPr>
            <w:tcW w:w="3626" w:type="dxa"/>
            <w:vAlign w:val="center"/>
          </w:tcPr>
          <w:p w14:paraId="391073CD" w14:textId="77777777" w:rsidR="00542E2F" w:rsidRPr="00542E2F" w:rsidRDefault="00542E2F" w:rsidP="00542E2F">
            <w:pPr>
              <w:keepNext/>
              <w:spacing w:before="0" w:after="0" w:line="259" w:lineRule="auto"/>
            </w:pPr>
            <w:r>
              <w:rPr>
                <w:sz w:val="21"/>
                <w:szCs w:val="21"/>
              </w:rPr>
              <w:t>Non-current Liabilities</w:t>
            </w:r>
          </w:p>
        </w:tc>
        <w:tc>
          <w:tcPr>
            <w:tcW w:w="1800" w:type="dxa"/>
            <w:vAlign w:val="center"/>
          </w:tcPr>
          <w:p w14:paraId="47376347" w14:textId="77777777" w:rsidR="00542E2F" w:rsidRPr="00542E2F" w:rsidRDefault="00542E2F" w:rsidP="00542E2F">
            <w:pPr>
              <w:keepNext/>
              <w:spacing w:before="0" w:after="0" w:line="259" w:lineRule="auto"/>
              <w:jc w:val="right"/>
            </w:pPr>
            <w:r>
              <w:rPr>
                <w:sz w:val="21"/>
                <w:szCs w:val="21"/>
              </w:rPr>
              <w:t>10,559</w:t>
            </w:r>
          </w:p>
        </w:tc>
        <w:tc>
          <w:tcPr>
            <w:tcW w:w="1800" w:type="dxa"/>
            <w:vAlign w:val="center"/>
          </w:tcPr>
          <w:p w14:paraId="32E87289" w14:textId="77777777" w:rsidR="00542E2F" w:rsidRPr="00542E2F" w:rsidRDefault="00542E2F" w:rsidP="00542E2F">
            <w:pPr>
              <w:keepNext/>
              <w:spacing w:before="0" w:after="0" w:line="259" w:lineRule="auto"/>
              <w:jc w:val="right"/>
            </w:pPr>
            <w:r>
              <w:rPr>
                <w:sz w:val="21"/>
                <w:szCs w:val="21"/>
              </w:rPr>
              <w:t>9,850</w:t>
            </w:r>
          </w:p>
        </w:tc>
        <w:tc>
          <w:tcPr>
            <w:tcW w:w="1800" w:type="dxa"/>
            <w:vAlign w:val="center"/>
          </w:tcPr>
          <w:p w14:paraId="1A7EC026" w14:textId="77777777" w:rsidR="00542E2F" w:rsidRPr="00542E2F" w:rsidRDefault="00542E2F" w:rsidP="00542E2F">
            <w:pPr>
              <w:keepNext/>
              <w:spacing w:before="0" w:after="0" w:line="259" w:lineRule="auto"/>
              <w:jc w:val="right"/>
            </w:pPr>
            <w:r>
              <w:rPr>
                <w:sz w:val="21"/>
                <w:szCs w:val="21"/>
              </w:rPr>
              <w:t>10,348</w:t>
            </w:r>
          </w:p>
        </w:tc>
      </w:tr>
      <w:tr w:rsidR="00542E2F" w:rsidRPr="00542E2F" w14:paraId="5048D2D9" w14:textId="77777777">
        <w:trPr>
          <w:cantSplit/>
        </w:trPr>
        <w:tc>
          <w:tcPr>
            <w:tcW w:w="3626" w:type="dxa"/>
            <w:vAlign w:val="center"/>
          </w:tcPr>
          <w:p w14:paraId="4D034D16" w14:textId="77777777" w:rsidR="00542E2F" w:rsidRPr="00542E2F" w:rsidRDefault="00542E2F" w:rsidP="00542E2F">
            <w:pPr>
              <w:spacing w:before="0" w:after="0" w:line="259" w:lineRule="auto"/>
            </w:pPr>
            <w:r>
              <w:rPr>
                <w:sz w:val="21"/>
                <w:szCs w:val="21"/>
              </w:rPr>
              <w:t>Total Equity</w:t>
            </w:r>
          </w:p>
        </w:tc>
        <w:tc>
          <w:tcPr>
            <w:tcW w:w="1800" w:type="dxa"/>
            <w:vAlign w:val="center"/>
          </w:tcPr>
          <w:p w14:paraId="12B126A0" w14:textId="77777777" w:rsidR="00542E2F" w:rsidRPr="00542E2F" w:rsidRDefault="00542E2F" w:rsidP="00542E2F">
            <w:pPr>
              <w:spacing w:before="0" w:after="0" w:line="259" w:lineRule="auto"/>
              <w:jc w:val="right"/>
            </w:pPr>
            <w:r>
              <w:rPr>
                <w:sz w:val="21"/>
                <w:szCs w:val="21"/>
              </w:rPr>
              <w:t>88,461</w:t>
            </w:r>
          </w:p>
        </w:tc>
        <w:tc>
          <w:tcPr>
            <w:tcW w:w="1800" w:type="dxa"/>
            <w:vAlign w:val="center"/>
          </w:tcPr>
          <w:p w14:paraId="3123959A" w14:textId="77777777" w:rsidR="00542E2F" w:rsidRPr="00542E2F" w:rsidRDefault="00542E2F" w:rsidP="00542E2F">
            <w:pPr>
              <w:spacing w:before="0" w:after="0" w:line="259" w:lineRule="auto"/>
              <w:jc w:val="right"/>
            </w:pPr>
            <w:r>
              <w:rPr>
                <w:sz w:val="21"/>
                <w:szCs w:val="21"/>
              </w:rPr>
              <w:t>96,203</w:t>
            </w:r>
          </w:p>
        </w:tc>
        <w:tc>
          <w:tcPr>
            <w:tcW w:w="1800" w:type="dxa"/>
            <w:vAlign w:val="center"/>
          </w:tcPr>
          <w:p w14:paraId="3D2F07BE" w14:textId="77777777" w:rsidR="00542E2F" w:rsidRPr="00542E2F" w:rsidRDefault="00542E2F" w:rsidP="00542E2F">
            <w:pPr>
              <w:spacing w:before="0" w:after="0" w:line="259" w:lineRule="auto"/>
              <w:jc w:val="right"/>
            </w:pPr>
            <w:r>
              <w:rPr>
                <w:sz w:val="21"/>
                <w:szCs w:val="21"/>
              </w:rPr>
              <w:t>93,297</w:t>
            </w:r>
          </w:p>
        </w:tc>
      </w:tr>
    </w:tbl>
    <w:p w14:paraId="14CDABF9" w14:textId="77777777" w:rsidR="00542E2F" w:rsidRPr="00542E2F" w:rsidRDefault="00542E2F" w:rsidP="00542E2F">
      <w:pPr>
        <w:keepNext/>
        <w:spacing w:before="160"/>
      </w:pPr>
      <w:r>
        <w:rPr>
          <w:b/>
          <w:bCs/>
        </w:rPr>
        <w:t>Key observations:</w:t>
      </w:r>
    </w:p>
    <w:p w14:paraId="314B1A78" w14:textId="77777777" w:rsidR="00542E2F" w:rsidRPr="00542E2F" w:rsidRDefault="00542E2F" w:rsidP="00542E2F">
      <w:pPr>
        <w:numPr>
          <w:ilvl w:val="0"/>
          <w:numId w:val="6"/>
        </w:numPr>
      </w:pPr>
      <w:r>
        <w:rPr>
          <w:b/>
          <w:bCs/>
        </w:rPr>
        <w:t>Total assets:</w:t>
      </w:r>
      <w:r>
        <w:t xml:space="preserve"> Increased from ₹137,814 crore in FY2023–24 to ₹155,967 crore in FY2025–26, indicating growth in the company’s asset base. </w:t>
      </w:r>
    </w:p>
    <w:p w14:paraId="29432B1D" w14:textId="77777777" w:rsidR="00542E2F" w:rsidRPr="00542E2F" w:rsidRDefault="00542E2F" w:rsidP="00542E2F">
      <w:pPr>
        <w:numPr>
          <w:ilvl w:val="0"/>
          <w:numId w:val="6"/>
        </w:numPr>
      </w:pPr>
      <w:r>
        <w:rPr>
          <w:b/>
          <w:bCs/>
        </w:rPr>
        <w:t>Cash position:</w:t>
      </w:r>
      <w:r>
        <w:t xml:space="preserve"> Cash and cash equivalents increased significantly in FY2024–25 before declining to ₹22,201 crore in FY2025–26. </w:t>
      </w:r>
    </w:p>
    <w:p w14:paraId="10D9AFE2" w14:textId="77777777" w:rsidR="00542E2F" w:rsidRPr="00542E2F" w:rsidRDefault="00542E2F" w:rsidP="00542E2F">
      <w:pPr>
        <w:numPr>
          <w:ilvl w:val="0"/>
          <w:numId w:val="6"/>
        </w:numPr>
      </w:pPr>
      <w:r>
        <w:rPr>
          <w:b/>
          <w:bCs/>
        </w:rPr>
        <w:t>Current investments:</w:t>
      </w:r>
      <w:r>
        <w:t xml:space="preserve"> Increased slightly from ₹12,482 crore to ₹12,950 crore between FY2024–25 and FY2025–26. </w:t>
      </w:r>
    </w:p>
    <w:p w14:paraId="0A3D3B5C" w14:textId="77777777" w:rsidR="00542E2F" w:rsidRPr="00542E2F" w:rsidRDefault="00542E2F" w:rsidP="00542E2F">
      <w:pPr>
        <w:numPr>
          <w:ilvl w:val="0"/>
          <w:numId w:val="6"/>
        </w:numPr>
      </w:pPr>
      <w:r>
        <w:rPr>
          <w:b/>
          <w:bCs/>
        </w:rPr>
        <w:t>Total equity:</w:t>
      </w:r>
      <w:r>
        <w:t xml:space="preserve"> Decreased from ₹96,203 crore in FY2024–25 to ₹93,297 crore in FY2025–26. </w:t>
      </w:r>
    </w:p>
    <w:p w14:paraId="6A1AEC1F" w14:textId="77777777" w:rsidR="00542E2F" w:rsidRPr="00542E2F" w:rsidRDefault="00542E2F" w:rsidP="00542E2F">
      <w:pPr>
        <w:numPr>
          <w:ilvl w:val="0"/>
          <w:numId w:val="6"/>
        </w:numPr>
      </w:pPr>
      <w:r>
        <w:rPr>
          <w:b/>
          <w:bCs/>
        </w:rPr>
        <w:t>Non-current liabilities:</w:t>
      </w:r>
      <w:r>
        <w:t xml:space="preserve"> Increased from ₹9,850 crore to ₹10,348 crore during FY2025–26. </w:t>
      </w:r>
    </w:p>
    <w:p w14:paraId="25E147D7" w14:textId="77777777" w:rsidR="00542E2F" w:rsidRPr="00542E2F" w:rsidRDefault="00542E2F" w:rsidP="00542E2F">
      <w:r>
        <w:t>Overall, Infosys maintained a substantial asset base. However, the decline in cash and shareholders’ equity during FY2025–26 highlights the importance of examining cash flows and financing activities alongside balance sheet figures.</w:t>
      </w:r>
    </w:p>
    <w:p w14:paraId="4F804A4F" w14:textId="77777777" w:rsidR="00D3201C" w:rsidRPr="00D3201C" w:rsidRDefault="00D3201C" w:rsidP="00D3201C">
      <w:pPr>
        <w:pStyle w:val="Heading2"/>
        <w:rPr>
          <w:b/>
          <w:bCs/>
        </w:rPr>
      </w:pPr>
      <w:r>
        <w:rPr>
          <w:b/>
          <w:bCs/>
        </w:rPr>
        <w:t>4.4 Cash Flow Analysis</w:t>
      </w:r>
    </w:p>
    <w:p w14:paraId="07AF9B02" w14:textId="77777777" w:rsidR="00D3201C" w:rsidRPr="00D3201C" w:rsidRDefault="00D3201C" w:rsidP="00D3201C">
      <w:r>
        <w:t>The cash flow statement shows how a company generates and uses cash through operating, investing, and financing activities. It helps assess the company’s ability to fund its operations, manage investments, and meet financial commitments.</w:t>
      </w:r>
    </w:p>
    <w:p w14:paraId="76DA5B30" w14:textId="77777777" w:rsidR="00D3201C" w:rsidRPr="00D3201C" w:rsidRDefault="00D3201C" w:rsidP="00D3201C">
      <w:pPr>
        <w:keepNext/>
      </w:pPr>
      <w:r>
        <w:t>The following table summarises selected cash flow figures for Infosys Limited.</w:t>
      </w:r>
    </w:p>
    <w:p w14:paraId="31E93ADF" w14:textId="77777777" w:rsidR="00D3201C" w:rsidRPr="00D3201C" w:rsidRDefault="00D3201C" w:rsidP="00D3201C">
      <w:pPr>
        <w:keepNext/>
      </w:pPr>
      <w:r>
        <w:rPr>
          <w:b/>
          <w:bCs/>
        </w:rPr>
        <w:t>Selected Cash Flow Figures (₹ crore)</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5426"/>
        <w:gridCol w:w="1800"/>
        <w:gridCol w:w="1800"/>
      </w:tblGrid>
      <w:tr w:rsidR="00D3201C" w:rsidRPr="00D3201C" w14:paraId="077BE9A9" w14:textId="77777777">
        <w:trPr>
          <w:cantSplit/>
          <w:tblHeader/>
        </w:trPr>
        <w:tc>
          <w:tcPr>
            <w:tcW w:w="5426" w:type="dxa"/>
            <w:shd w:val="clear" w:color="auto" w:fill="D9E2F3"/>
            <w:vAlign w:val="center"/>
          </w:tcPr>
          <w:p w14:paraId="5B844F5B" w14:textId="77777777" w:rsidR="00D3201C" w:rsidRPr="00D3201C" w:rsidRDefault="00D3201C" w:rsidP="00D3201C">
            <w:pPr>
              <w:keepNext/>
              <w:spacing w:before="0" w:after="0" w:line="259" w:lineRule="auto"/>
              <w:rPr>
                <w:b/>
                <w:bCs/>
              </w:rPr>
            </w:pPr>
            <w:r>
              <w:rPr>
                <w:b/>
                <w:bCs/>
                <w:sz w:val="21"/>
                <w:szCs w:val="21"/>
              </w:rPr>
              <w:t>Particulars</w:t>
            </w:r>
          </w:p>
        </w:tc>
        <w:tc>
          <w:tcPr>
            <w:tcW w:w="1800" w:type="dxa"/>
            <w:shd w:val="clear" w:color="auto" w:fill="D9E2F3"/>
            <w:vAlign w:val="center"/>
          </w:tcPr>
          <w:p w14:paraId="7DE547CC" w14:textId="77777777" w:rsidR="00D3201C" w:rsidRPr="00D3201C" w:rsidRDefault="00D3201C" w:rsidP="00D3201C">
            <w:pPr>
              <w:keepNext/>
              <w:spacing w:before="0" w:after="0" w:line="259" w:lineRule="auto"/>
              <w:jc w:val="right"/>
              <w:rPr>
                <w:b/>
                <w:bCs/>
              </w:rPr>
            </w:pPr>
            <w:r>
              <w:rPr>
                <w:b/>
                <w:bCs/>
                <w:sz w:val="21"/>
                <w:szCs w:val="21"/>
              </w:rPr>
              <w:t>FY2024–25</w:t>
            </w:r>
          </w:p>
        </w:tc>
        <w:tc>
          <w:tcPr>
            <w:tcW w:w="1800" w:type="dxa"/>
            <w:shd w:val="clear" w:color="auto" w:fill="D9E2F3"/>
            <w:vAlign w:val="center"/>
          </w:tcPr>
          <w:p w14:paraId="600052F8" w14:textId="77777777" w:rsidR="00D3201C" w:rsidRPr="00D3201C" w:rsidRDefault="00D3201C" w:rsidP="00D3201C">
            <w:pPr>
              <w:keepNext/>
              <w:spacing w:before="0" w:after="0" w:line="259" w:lineRule="auto"/>
              <w:jc w:val="right"/>
              <w:rPr>
                <w:b/>
                <w:bCs/>
              </w:rPr>
            </w:pPr>
            <w:r>
              <w:rPr>
                <w:b/>
                <w:bCs/>
                <w:sz w:val="21"/>
                <w:szCs w:val="21"/>
              </w:rPr>
              <w:t>FY2025–26</w:t>
            </w:r>
          </w:p>
        </w:tc>
      </w:tr>
      <w:tr w:rsidR="00D3201C" w:rsidRPr="00D3201C" w14:paraId="3E19DE59" w14:textId="77777777">
        <w:trPr>
          <w:cantSplit/>
        </w:trPr>
        <w:tc>
          <w:tcPr>
            <w:tcW w:w="5426" w:type="dxa"/>
            <w:vAlign w:val="center"/>
          </w:tcPr>
          <w:p w14:paraId="37BFABA5" w14:textId="77777777" w:rsidR="00D3201C" w:rsidRPr="00D3201C" w:rsidRDefault="00D3201C" w:rsidP="00D3201C">
            <w:pPr>
              <w:keepNext/>
              <w:spacing w:before="0" w:after="0" w:line="259" w:lineRule="auto"/>
            </w:pPr>
            <w:r>
              <w:rPr>
                <w:sz w:val="21"/>
                <w:szCs w:val="21"/>
              </w:rPr>
              <w:t>Net cash generated by operating activities</w:t>
            </w:r>
          </w:p>
        </w:tc>
        <w:tc>
          <w:tcPr>
            <w:tcW w:w="1800" w:type="dxa"/>
            <w:vAlign w:val="center"/>
          </w:tcPr>
          <w:p w14:paraId="4F28BC12" w14:textId="77777777" w:rsidR="00D3201C" w:rsidRPr="00D3201C" w:rsidRDefault="00D3201C" w:rsidP="00D3201C">
            <w:pPr>
              <w:keepNext/>
              <w:spacing w:before="0" w:after="0" w:line="259" w:lineRule="auto"/>
              <w:jc w:val="right"/>
            </w:pPr>
            <w:r>
              <w:rPr>
                <w:sz w:val="21"/>
                <w:szCs w:val="21"/>
              </w:rPr>
              <w:t>36,786</w:t>
            </w:r>
          </w:p>
        </w:tc>
        <w:tc>
          <w:tcPr>
            <w:tcW w:w="1800" w:type="dxa"/>
            <w:vAlign w:val="center"/>
          </w:tcPr>
          <w:p w14:paraId="68C3E44A" w14:textId="77777777" w:rsidR="00D3201C" w:rsidRPr="00D3201C" w:rsidRDefault="00D3201C" w:rsidP="00D3201C">
            <w:pPr>
              <w:keepNext/>
              <w:spacing w:before="0" w:after="0" w:line="259" w:lineRule="auto"/>
              <w:jc w:val="right"/>
            </w:pPr>
            <w:r>
              <w:rPr>
                <w:sz w:val="21"/>
                <w:szCs w:val="21"/>
              </w:rPr>
              <w:t>35,824</w:t>
            </w:r>
          </w:p>
        </w:tc>
      </w:tr>
      <w:tr w:rsidR="00D3201C" w:rsidRPr="00D3201C" w14:paraId="58041C64" w14:textId="77777777">
        <w:trPr>
          <w:cantSplit/>
        </w:trPr>
        <w:tc>
          <w:tcPr>
            <w:tcW w:w="5426" w:type="dxa"/>
            <w:vAlign w:val="center"/>
          </w:tcPr>
          <w:p w14:paraId="0173D2A7" w14:textId="77777777" w:rsidR="00D3201C" w:rsidRPr="00D3201C" w:rsidRDefault="00D3201C" w:rsidP="00D3201C">
            <w:pPr>
              <w:keepNext/>
              <w:spacing w:before="0" w:after="0" w:line="259" w:lineRule="auto"/>
            </w:pPr>
            <w:r>
              <w:rPr>
                <w:sz w:val="21"/>
                <w:szCs w:val="21"/>
              </w:rPr>
              <w:t>Net cash generated / (used in) investing activities</w:t>
            </w:r>
          </w:p>
        </w:tc>
        <w:tc>
          <w:tcPr>
            <w:tcW w:w="1800" w:type="dxa"/>
            <w:vAlign w:val="center"/>
          </w:tcPr>
          <w:p w14:paraId="53650DBC" w14:textId="77777777" w:rsidR="00D3201C" w:rsidRPr="00D3201C" w:rsidRDefault="00D3201C" w:rsidP="00D3201C">
            <w:pPr>
              <w:keepNext/>
              <w:spacing w:before="0" w:after="0" w:line="259" w:lineRule="auto"/>
              <w:jc w:val="right"/>
            </w:pPr>
            <w:r>
              <w:rPr>
                <w:sz w:val="21"/>
                <w:szCs w:val="21"/>
              </w:rPr>
              <w:t>(3,038)</w:t>
            </w:r>
          </w:p>
        </w:tc>
        <w:tc>
          <w:tcPr>
            <w:tcW w:w="1800" w:type="dxa"/>
            <w:vAlign w:val="center"/>
          </w:tcPr>
          <w:p w14:paraId="66CCC08F" w14:textId="77777777" w:rsidR="00D3201C" w:rsidRPr="00D3201C" w:rsidRDefault="00D3201C" w:rsidP="00D3201C">
            <w:pPr>
              <w:keepNext/>
              <w:spacing w:before="0" w:after="0" w:line="259" w:lineRule="auto"/>
              <w:jc w:val="right"/>
            </w:pPr>
            <w:r>
              <w:rPr>
                <w:sz w:val="21"/>
                <w:szCs w:val="21"/>
              </w:rPr>
              <w:t>108</w:t>
            </w:r>
          </w:p>
        </w:tc>
      </w:tr>
      <w:tr w:rsidR="00D3201C" w:rsidRPr="00D3201C" w14:paraId="07C84B17" w14:textId="77777777">
        <w:trPr>
          <w:cantSplit/>
        </w:trPr>
        <w:tc>
          <w:tcPr>
            <w:tcW w:w="5426" w:type="dxa"/>
            <w:vAlign w:val="center"/>
          </w:tcPr>
          <w:p w14:paraId="30C21E7E" w14:textId="77777777" w:rsidR="00D3201C" w:rsidRPr="00D3201C" w:rsidRDefault="00D3201C" w:rsidP="00D3201C">
            <w:pPr>
              <w:keepNext/>
              <w:spacing w:before="0" w:after="0" w:line="259" w:lineRule="auto"/>
            </w:pPr>
            <w:r>
              <w:rPr>
                <w:sz w:val="21"/>
                <w:szCs w:val="21"/>
              </w:rPr>
              <w:t>Net cash used in financing activities</w:t>
            </w:r>
          </w:p>
        </w:tc>
        <w:tc>
          <w:tcPr>
            <w:tcW w:w="1800" w:type="dxa"/>
            <w:vAlign w:val="center"/>
          </w:tcPr>
          <w:p w14:paraId="22188C69" w14:textId="77777777" w:rsidR="00D3201C" w:rsidRPr="00D3201C" w:rsidRDefault="00D3201C" w:rsidP="00D3201C">
            <w:pPr>
              <w:keepNext/>
              <w:spacing w:before="0" w:after="0" w:line="259" w:lineRule="auto"/>
              <w:jc w:val="right"/>
            </w:pPr>
            <w:r>
              <w:rPr>
                <w:sz w:val="21"/>
                <w:szCs w:val="21"/>
              </w:rPr>
              <w:t>(24,161)</w:t>
            </w:r>
          </w:p>
        </w:tc>
        <w:tc>
          <w:tcPr>
            <w:tcW w:w="1800" w:type="dxa"/>
            <w:vAlign w:val="center"/>
          </w:tcPr>
          <w:p w14:paraId="22CF5A4F" w14:textId="77777777" w:rsidR="00D3201C" w:rsidRPr="00D3201C" w:rsidRDefault="00D3201C" w:rsidP="00D3201C">
            <w:pPr>
              <w:keepNext/>
              <w:spacing w:before="0" w:after="0" w:line="259" w:lineRule="auto"/>
              <w:jc w:val="right"/>
            </w:pPr>
            <w:r>
              <w:rPr>
                <w:sz w:val="21"/>
                <w:szCs w:val="21"/>
              </w:rPr>
              <w:t>(39,786)</w:t>
            </w:r>
          </w:p>
        </w:tc>
      </w:tr>
      <w:tr w:rsidR="00D3201C" w:rsidRPr="00D3201C" w14:paraId="062AF4DF" w14:textId="77777777">
        <w:trPr>
          <w:cantSplit/>
        </w:trPr>
        <w:tc>
          <w:tcPr>
            <w:tcW w:w="5426" w:type="dxa"/>
            <w:vAlign w:val="center"/>
          </w:tcPr>
          <w:p w14:paraId="29F56249" w14:textId="77777777" w:rsidR="00D3201C" w:rsidRPr="00D3201C" w:rsidRDefault="00D3201C" w:rsidP="00D3201C">
            <w:pPr>
              <w:keepNext/>
              <w:spacing w:before="0" w:after="0" w:line="259" w:lineRule="auto"/>
            </w:pPr>
            <w:r>
              <w:rPr>
                <w:sz w:val="21"/>
                <w:szCs w:val="21"/>
              </w:rPr>
              <w:t>Net increase / (decrease) in cash and cash equivalents</w:t>
            </w:r>
          </w:p>
        </w:tc>
        <w:tc>
          <w:tcPr>
            <w:tcW w:w="1800" w:type="dxa"/>
            <w:vAlign w:val="center"/>
          </w:tcPr>
          <w:p w14:paraId="45C85573" w14:textId="77777777" w:rsidR="00D3201C" w:rsidRPr="00D3201C" w:rsidRDefault="00D3201C" w:rsidP="00D3201C">
            <w:pPr>
              <w:keepNext/>
              <w:spacing w:before="0" w:after="0" w:line="259" w:lineRule="auto"/>
              <w:jc w:val="right"/>
            </w:pPr>
            <w:r>
              <w:rPr>
                <w:sz w:val="21"/>
                <w:szCs w:val="21"/>
              </w:rPr>
              <w:t>9,587</w:t>
            </w:r>
          </w:p>
        </w:tc>
        <w:tc>
          <w:tcPr>
            <w:tcW w:w="1800" w:type="dxa"/>
            <w:vAlign w:val="center"/>
          </w:tcPr>
          <w:p w14:paraId="3182E8D5" w14:textId="77777777" w:rsidR="00D3201C" w:rsidRPr="00D3201C" w:rsidRDefault="00D3201C" w:rsidP="00D3201C">
            <w:pPr>
              <w:keepNext/>
              <w:spacing w:before="0" w:after="0" w:line="259" w:lineRule="auto"/>
              <w:jc w:val="right"/>
            </w:pPr>
            <w:r>
              <w:rPr>
                <w:sz w:val="21"/>
                <w:szCs w:val="21"/>
              </w:rPr>
              <w:t>(3,854)</w:t>
            </w:r>
          </w:p>
        </w:tc>
      </w:tr>
      <w:tr w:rsidR="00D3201C" w:rsidRPr="00D3201C" w14:paraId="062AF4DF" w14:textId="77777777">
        <w:trPr>
          <w:cantSplit/>
        </w:trPr>
        <w:tc>
          <w:tcPr>
            <w:tcW w:w="5426" w:type="dxa"/>
            <w:vAlign w:val="center"/>
          </w:tcPr>
          <w:p w14:paraId="29F56249" w14:textId="77777777" w:rsidR="00D3201C" w:rsidRPr="00D3201C" w:rsidRDefault="00D3201C" w:rsidP="00D3201C">
            <w:pPr>
              <w:keepNext/>
              <w:spacing w:before="0" w:after="0" w:line="259" w:lineRule="auto"/>
            </w:pPr>
            <w:r>
              <w:rPr>
                <w:sz w:val="21"/>
                <w:szCs w:val="21"/>
              </w:rPr>
              <w:t>Effect of exchange rate changes on cash and cash equivalents</w:t>
            </w:r>
          </w:p>
        </w:tc>
        <w:tc>
          <w:tcPr>
            <w:tcW w:w="1800" w:type="dxa"/>
            <w:vAlign w:val="center"/>
          </w:tcPr>
          <w:p w14:paraId="45C85573" w14:textId="77777777" w:rsidR="00D3201C" w:rsidRPr="00D3201C" w:rsidRDefault="00D3201C" w:rsidP="00D3201C">
            <w:pPr>
              <w:keepNext/>
              <w:spacing w:before="0" w:after="0" w:line="259" w:lineRule="auto"/>
              <w:jc w:val="right"/>
            </w:pPr>
            <w:r>
              <w:rPr>
                <w:sz w:val="21"/>
                <w:szCs w:val="21"/>
              </w:rPr>
              <w:t>82</w:t>
            </w:r>
          </w:p>
        </w:tc>
        <w:tc>
          <w:tcPr>
            <w:tcW w:w="1800" w:type="dxa"/>
            <w:vAlign w:val="center"/>
          </w:tcPr>
          <w:p w14:paraId="3182E8D5" w14:textId="77777777" w:rsidR="00D3201C" w:rsidRPr="00D3201C" w:rsidRDefault="00D3201C" w:rsidP="00D3201C">
            <w:pPr>
              <w:keepNext/>
              <w:spacing w:before="0" w:after="0" w:line="259" w:lineRule="auto"/>
              <w:jc w:val="right"/>
            </w:pPr>
            <w:r>
              <w:rPr>
                <w:sz w:val="21"/>
                <w:szCs w:val="21"/>
              </w:rPr>
              <w:t>1,600</w:t>
            </w:r>
          </w:p>
        </w:tc>
      </w:tr>
      <w:tr w:rsidR="00D3201C" w:rsidRPr="00D3201C" w14:paraId="149A3692" w14:textId="77777777">
        <w:trPr>
          <w:cantSplit/>
        </w:trPr>
        <w:tc>
          <w:tcPr>
            <w:tcW w:w="5426" w:type="dxa"/>
            <w:vAlign w:val="center"/>
          </w:tcPr>
          <w:p w14:paraId="3900B90C" w14:textId="77777777" w:rsidR="00D3201C" w:rsidRPr="00D3201C" w:rsidRDefault="00D3201C" w:rsidP="00D3201C">
            <w:pPr>
              <w:keepNext/>
              <w:spacing w:before="0" w:after="0" w:line="259" w:lineRule="auto"/>
            </w:pPr>
            <w:r>
              <w:rPr>
                <w:sz w:val="21"/>
                <w:szCs w:val="21"/>
              </w:rPr>
              <w:t>Cash and cash equivalents at beginning of period</w:t>
            </w:r>
          </w:p>
        </w:tc>
        <w:tc>
          <w:tcPr>
            <w:tcW w:w="1800" w:type="dxa"/>
            <w:vAlign w:val="center"/>
          </w:tcPr>
          <w:p w14:paraId="6BC7D760" w14:textId="77777777" w:rsidR="00D3201C" w:rsidRPr="00D3201C" w:rsidRDefault="00D3201C" w:rsidP="00D3201C">
            <w:pPr>
              <w:keepNext/>
              <w:spacing w:before="0" w:after="0" w:line="259" w:lineRule="auto"/>
              <w:jc w:val="right"/>
            </w:pPr>
            <w:r>
              <w:rPr>
                <w:sz w:val="21"/>
                <w:szCs w:val="21"/>
              </w:rPr>
              <w:t>14,786</w:t>
            </w:r>
          </w:p>
        </w:tc>
        <w:tc>
          <w:tcPr>
            <w:tcW w:w="1800" w:type="dxa"/>
            <w:vAlign w:val="center"/>
          </w:tcPr>
          <w:p w14:paraId="6C9E6BCB" w14:textId="77777777" w:rsidR="00D3201C" w:rsidRPr="00D3201C" w:rsidRDefault="00D3201C" w:rsidP="00D3201C">
            <w:pPr>
              <w:keepNext/>
              <w:spacing w:before="0" w:after="0" w:line="259" w:lineRule="auto"/>
              <w:jc w:val="right"/>
            </w:pPr>
            <w:r>
              <w:rPr>
                <w:sz w:val="21"/>
                <w:szCs w:val="21"/>
              </w:rPr>
              <w:t>24,455</w:t>
            </w:r>
          </w:p>
        </w:tc>
      </w:tr>
      <w:tr w:rsidR="00D3201C" w:rsidRPr="00D3201C" w14:paraId="1EC07FBD" w14:textId="77777777">
        <w:trPr>
          <w:cantSplit/>
        </w:trPr>
        <w:tc>
          <w:tcPr>
            <w:tcW w:w="5426" w:type="dxa"/>
            <w:vAlign w:val="center"/>
          </w:tcPr>
          <w:p w14:paraId="7B2C4133" w14:textId="77777777" w:rsidR="00D3201C" w:rsidRPr="00D3201C" w:rsidRDefault="00D3201C" w:rsidP="00D3201C">
            <w:pPr>
              <w:spacing w:before="0" w:after="0" w:line="259" w:lineRule="auto"/>
            </w:pPr>
            <w:r>
              <w:rPr>
                <w:sz w:val="21"/>
                <w:szCs w:val="21"/>
              </w:rPr>
              <w:t>Cash and cash equivalents at end of period</w:t>
            </w:r>
          </w:p>
        </w:tc>
        <w:tc>
          <w:tcPr>
            <w:tcW w:w="1800" w:type="dxa"/>
            <w:vAlign w:val="center"/>
          </w:tcPr>
          <w:p w14:paraId="6BCE2A46" w14:textId="77777777" w:rsidR="00D3201C" w:rsidRPr="00D3201C" w:rsidRDefault="00D3201C" w:rsidP="00D3201C">
            <w:pPr>
              <w:spacing w:before="0" w:after="0" w:line="259" w:lineRule="auto"/>
              <w:jc w:val="right"/>
            </w:pPr>
            <w:r>
              <w:rPr>
                <w:sz w:val="21"/>
                <w:szCs w:val="21"/>
              </w:rPr>
              <w:t>24,455</w:t>
            </w:r>
          </w:p>
        </w:tc>
        <w:tc>
          <w:tcPr>
            <w:tcW w:w="1800" w:type="dxa"/>
            <w:vAlign w:val="center"/>
          </w:tcPr>
          <w:p w14:paraId="5F38BD3C" w14:textId="77777777" w:rsidR="00D3201C" w:rsidRPr="00D3201C" w:rsidRDefault="00D3201C" w:rsidP="00D3201C">
            <w:pPr>
              <w:spacing w:before="0" w:after="0" w:line="259" w:lineRule="auto"/>
              <w:jc w:val="right"/>
            </w:pPr>
            <w:r>
              <w:rPr>
                <w:sz w:val="21"/>
                <w:szCs w:val="21"/>
              </w:rPr>
              <w:t>22,201</w:t>
            </w:r>
          </w:p>
        </w:tc>
      </w:tr>
    </w:tbl>
    <w:p w14:paraId="59F14070" w14:textId="77777777" w:rsidR="00D3201C" w:rsidRPr="00D3201C" w:rsidRDefault="00D3201C" w:rsidP="00D3201C">
      <w:pPr>
        <w:keepNext/>
        <w:spacing w:before="160"/>
      </w:pPr>
      <w:r>
        <w:rPr>
          <w:b/>
          <w:bCs/>
        </w:rPr>
        <w:t>Key observations:</w:t>
      </w:r>
    </w:p>
    <w:p w14:paraId="1741ED2B" w14:textId="77777777" w:rsidR="00D3201C" w:rsidRPr="00D3201C" w:rsidRDefault="00D3201C" w:rsidP="00D3201C">
      <w:pPr>
        <w:numPr>
          <w:ilvl w:val="0"/>
          <w:numId w:val="7"/>
        </w:numPr>
      </w:pPr>
      <w:r>
        <w:rPr>
          <w:b/>
          <w:bCs/>
        </w:rPr>
        <w:t>Operating activities:</w:t>
      </w:r>
      <w:r>
        <w:t xml:space="preserve"> Net cash generated by operating activities decreased from ₹36,786 crore to ₹35,824 crore, a decline of approximately 2.62%. </w:t>
      </w:r>
    </w:p>
    <w:p w14:paraId="57345459" w14:textId="77777777" w:rsidR="00D3201C" w:rsidRPr="00D3201C" w:rsidRDefault="00D3201C" w:rsidP="00D3201C">
      <w:pPr>
        <w:numPr>
          <w:ilvl w:val="0"/>
          <w:numId w:val="7"/>
        </w:numPr>
      </w:pPr>
      <w:r>
        <w:rPr>
          <w:b/>
          <w:bCs/>
        </w:rPr>
        <w:t>Investing activities:</w:t>
      </w:r>
      <w:r>
        <w:t xml:space="preserve"> Net cash flow from investing activities changed from an outflow of ₹3,038 crore to an inflow of ₹108 crore. </w:t>
      </w:r>
    </w:p>
    <w:p w14:paraId="0D94D059" w14:textId="77777777" w:rsidR="00D3201C" w:rsidRPr="00D3201C" w:rsidRDefault="00D3201C" w:rsidP="00D3201C">
      <w:pPr>
        <w:numPr>
          <w:ilvl w:val="0"/>
          <w:numId w:val="7"/>
        </w:numPr>
      </w:pPr>
      <w:r>
        <w:rPr>
          <w:b/>
          <w:bCs/>
        </w:rPr>
        <w:t>Financing activities:</w:t>
      </w:r>
      <w:r>
        <w:t xml:space="preserve"> Net cash used in financing increased from ₹24,161 crore to ₹39,786 crore, reflecting greater net cash outflows from financing activities. </w:t>
      </w:r>
    </w:p>
    <w:p w14:paraId="21099D08" w14:textId="77777777" w:rsidR="00D3201C" w:rsidRPr="00D3201C" w:rsidRDefault="00D3201C" w:rsidP="00D3201C">
      <w:pPr>
        <w:numPr>
          <w:ilvl w:val="0"/>
          <w:numId w:val="7"/>
        </w:numPr>
      </w:pPr>
      <w:r>
        <w:rPr>
          <w:b/>
          <w:bCs/>
        </w:rPr>
        <w:t>Closing cash balance:</w:t>
      </w:r>
      <w:r>
        <w:t xml:space="preserve"> Cash and cash equivalents declined from ₹24,455 crore to ₹22,201 crore, a decrease of approximately 9.22%. </w:t>
      </w:r>
    </w:p>
    <w:p w14:paraId="08DA0650" w14:textId="77777777" w:rsidR="00D3201C" w:rsidRPr="00D3201C" w:rsidRDefault="00D3201C" w:rsidP="00D3201C">
      <w:r>
        <w:t>Overall, Infosys continued to generate substantial cash from operating activities. However, lower operating cash generation and higher financing outflows contributed to a lower closing cash balance during FY2025–26.</w:t>
      </w:r>
    </w:p>
    <w:p w14:paraId="14112AC1" w14:textId="77777777" w:rsidR="00D3201C" w:rsidRPr="00D3201C" w:rsidRDefault="00D3201C" w:rsidP="00D3201C">
      <w:pPr>
        <w:pStyle w:val="Heading1"/>
        <w:rPr>
          <w:b/>
          <w:bCs/>
        </w:rPr>
      </w:pPr>
      <w:r>
        <w:rPr>
          <w:b/>
          <w:bCs/>
        </w:rPr>
        <w:t>5. Key Financial Findings</w:t>
      </w:r>
    </w:p>
    <w:p w14:paraId="71A1DEE4" w14:textId="77777777" w:rsidR="00D3201C" w:rsidRPr="00D3201C" w:rsidRDefault="00D3201C" w:rsidP="00D3201C">
      <w:r>
        <w:t>Based on the analysis of Infosys Limited’s consolidated financial statements for FY2023–24, FY2024–25, and FY2025–26, the following findings were identified.</w:t>
      </w:r>
    </w:p>
    <w:p w14:paraId="69F0B42E" w14:textId="77777777" w:rsidR="00D3201C" w:rsidRPr="00D3201C" w:rsidRDefault="00D3201C" w:rsidP="00D3201C">
      <w:pPr>
        <w:pStyle w:val="Heading3"/>
      </w:pPr>
      <w:r>
        <w:rPr>
          <w:b/>
          <w:bCs/>
        </w:rPr>
        <w:t>1. Revenue Growth</w:t>
      </w:r>
    </w:p>
    <w:p w14:paraId="523D4385" w14:textId="77777777" w:rsidR="00D3201C" w:rsidRPr="00D3201C" w:rsidRDefault="00D3201C" w:rsidP="00D3201C">
      <w:r>
        <w:t>Revenue increased from ₹153,670 crore in FY2023–24 to ₹178,650 crore in FY2025–26. This indicates that the company expanded its revenue over the three-year period.</w:t>
      </w:r>
    </w:p>
    <w:p w14:paraId="135413FF" w14:textId="77777777" w:rsidR="00D3201C" w:rsidRPr="00D3201C" w:rsidRDefault="00D3201C" w:rsidP="00D3201C">
      <w:pPr>
        <w:pStyle w:val="Heading3"/>
      </w:pPr>
      <w:r>
        <w:rPr>
          <w:b/>
          <w:bCs/>
        </w:rPr>
        <w:t>2. Profitability</w:t>
      </w:r>
    </w:p>
    <w:p w14:paraId="1B8FC67A" w14:textId="77777777" w:rsidR="00D3201C" w:rsidRPr="00D3201C" w:rsidRDefault="00D3201C" w:rsidP="00D3201C">
      <w:r>
        <w:t>Net profit increased from ₹26,248 crore in FY2023–24 to ₹29,474 crore in FY2025–26. However, the operating margin declined from 21.12% in FY2024–25 to 20.29% in FY2025–26, indicating a slight reduction in operating profitability relative to revenue.</w:t>
      </w:r>
    </w:p>
    <w:p w14:paraId="75BDE991" w14:textId="77777777" w:rsidR="00D3201C" w:rsidRPr="00D3201C" w:rsidRDefault="00D3201C" w:rsidP="00D3201C">
      <w:pPr>
        <w:pStyle w:val="Heading3"/>
      </w:pPr>
      <w:r>
        <w:rPr>
          <w:b/>
          <w:bCs/>
        </w:rPr>
        <w:t>3. Asset Growth</w:t>
      </w:r>
    </w:p>
    <w:p w14:paraId="11B6692C" w14:textId="77777777" w:rsidR="00D3201C" w:rsidRPr="00D3201C" w:rsidRDefault="00D3201C" w:rsidP="00D3201C">
      <w:r>
        <w:t>Total assets increased from ₹137,814 crore in FY2023–24 to ₹155,967 crore in FY2025–26. This reflects an increase in the company’s reported asset base over the period.</w:t>
      </w:r>
    </w:p>
    <w:p w14:paraId="1DED7C73" w14:textId="77777777" w:rsidR="00D3201C" w:rsidRPr="00D3201C" w:rsidRDefault="00D3201C" w:rsidP="00D3201C">
      <w:pPr>
        <w:pStyle w:val="Heading3"/>
      </w:pPr>
      <w:r>
        <w:rPr>
          <w:b/>
          <w:bCs/>
        </w:rPr>
        <w:t>4. Cash Flow Performance</w:t>
      </w:r>
    </w:p>
    <w:p w14:paraId="3ACC1BD9" w14:textId="77777777" w:rsidR="00D3201C" w:rsidRPr="00D3201C" w:rsidRDefault="00D3201C" w:rsidP="00D3201C">
      <w:r>
        <w:t>Net cash generated from operating activities decreased from ₹36,786 crore in FY2024–25 to ₹35,824 crore in FY2025–26. Cash and cash equivalents also declined from ₹24,455 crore to ₹22,201 crore.</w:t>
      </w:r>
    </w:p>
    <w:p w14:paraId="43552607" w14:textId="77777777" w:rsidR="00D3201C" w:rsidRPr="00D3201C" w:rsidRDefault="00D3201C" w:rsidP="00D3201C">
      <w:pPr>
        <w:pStyle w:val="Heading3"/>
      </w:pPr>
      <w:r>
        <w:rPr>
          <w:b/>
          <w:bCs/>
        </w:rPr>
        <w:t>5. Equity and Financing</w:t>
      </w:r>
    </w:p>
    <w:p w14:paraId="34A0BE59" w14:textId="77777777" w:rsidR="00D3201C" w:rsidRPr="00D3201C" w:rsidRDefault="00D3201C" w:rsidP="00D3201C">
      <w:r>
        <w:t>Total equity decreased from ₹96,203 crore in FY2024–25 to ₹93,297 crore in FY2025–26. The cash flow statement also reported higher net cash outflows from financing activities in FY2025–26 than in FY2024–25.</w:t>
      </w:r>
    </w:p>
    <w:p w14:paraId="15B33413" w14:textId="77777777" w:rsidR="00D3201C" w:rsidRPr="00D3201C" w:rsidRDefault="00D3201C" w:rsidP="00D3201C">
      <w:pPr>
        <w:pStyle w:val="Heading1"/>
        <w:rPr>
          <w:b/>
          <w:bCs/>
        </w:rPr>
      </w:pPr>
      <w:r>
        <w:rPr>
          <w:b/>
          <w:bCs/>
        </w:rPr>
        <w:t>6. Conclusion</w:t>
      </w:r>
    </w:p>
    <w:p w14:paraId="16E18B48" w14:textId="77777777" w:rsidR="00D3201C" w:rsidRPr="00D3201C" w:rsidRDefault="00D3201C" w:rsidP="00D3201C">
      <w:r>
        <w:t>The financial statement analysis indicates that Infosys Limited experienced revenue and net profit growth between FY2023–24 and FY2025–26. Its total assets also increased over the same period.</w:t>
      </w:r>
    </w:p>
    <w:p w14:paraId="65A8FC7B" w14:textId="77777777" w:rsidR="00D3201C" w:rsidRPr="00D3201C" w:rsidRDefault="00D3201C" w:rsidP="00D3201C">
      <w:r>
        <w:t>However, some indicators require closer examination. Operating margin declined in FY2025–26, operating cash generation decreased, and the closing cash balance was lower than in the previous financial year.</w:t>
      </w:r>
    </w:p>
    <w:p w14:paraId="1EEAE4C9" w14:textId="77777777" w:rsidR="00D3201C" w:rsidRPr="00D3201C" w:rsidRDefault="00D3201C" w:rsidP="00D3201C">
      <w:r>
        <w:t>These findings demonstrate the importance of analysing the income statement, balance sheet, and cash flow statement together rather than relying on a single financial metric. Overall, the analysis provides a structured overview of Infosys’s financial performance and position across the three financial years.</w:t>
      </w:r>
    </w:p>
    <w:p w14:paraId="3457AE4A" w14:textId="77777777" w:rsidR="00D3201C" w:rsidRPr="00D3201C" w:rsidRDefault="00D3201C" w:rsidP="00D3201C">
      <w:pPr>
        <w:pStyle w:val="Heading1"/>
        <w:rPr>
          <w:b/>
          <w:bCs/>
        </w:rPr>
      </w:pPr>
      <w:r>
        <w:rPr>
          <w:b/>
          <w:bCs/>
        </w:rPr>
        <w:t>7. Limitations of the Analysis</w:t>
      </w:r>
    </w:p>
    <w:p w14:paraId="22C61A5C" w14:textId="3E74E972" w:rsidR="00C61254" w:rsidRDefault="00D3201C" w:rsidP="00D3201C">
      <w:r>
        <w:t>This report focuses on selected financial statement items and basic year-on-year comparisons. It does not include a complete valuation of Infosys shares, a detailed peer comparison, or a forecast of future financial performance. The findings should therefore be interpreted as a financial statement analysis rather than a recommendation to buy or sell the company’s shares.</w:t>
      </w:r>
    </w:p>
    <w:p w14:paraId="52736668" w14:textId="77777777" w:rsidR="00C61254" w:rsidRPr="00C61254" w:rsidRDefault="00C61254" w:rsidP="00C61254">
      <w:pPr>
        <w:pStyle w:val="Heading1"/>
        <w:pageBreakBefore/>
        <w:rPr>
          <w:b/>
          <w:bCs/>
        </w:rPr>
      </w:pPr>
      <w:r>
        <w:rPr>
          <w:b/>
          <w:bCs/>
        </w:rPr>
        <w:t>8. References</w:t>
      </w:r>
    </w:p>
    <w:p w14:paraId="302C81BE" w14:textId="77777777" w:rsidR="00C61254" w:rsidRPr="00C61254" w:rsidRDefault="00C61254" w:rsidP="00C61254">
      <w:r>
        <w:rPr>
          <w:b/>
          <w:bCs/>
        </w:rPr>
        <w:t>1. Infosys Limited — Integrated Annual Report 2025–26</w:t>
      </w:r>
      <w:r>
        <w:br/>
        <w:t>Used to understand the company’s business, financial performance, and consolidated financial statements.</w:t>
      </w:r>
    </w:p>
    <w:p w14:paraId="367A2752" w14:textId="77777777" w:rsidR="00C61254" w:rsidRPr="00C61254" w:rsidRDefault="00C61254" w:rsidP="00C61254">
      <w:r>
        <w:t xml:space="preserve">Official source: </w:t>
      </w:r>
      <w:hyperlink r:id="rId5" w:tgtFrame="_blank" w:history="1">
        <w:r>
          <w:rPr>
            <w:rStyle w:val="Hyperlink"/>
          </w:rPr>
          <w:t>Infosys Integrated Annual Report 2025–26</w:t>
        </w:r>
      </w:hyperlink>
    </w:p>
    <w:p w14:paraId="074351B4" w14:textId="77777777" w:rsidR="00C61254" w:rsidRPr="00C61254" w:rsidRDefault="00C61254" w:rsidP="00C61254">
      <w:r>
        <w:rPr>
          <w:b/>
          <w:bCs/>
        </w:rPr>
        <w:t>2. Infosys Limited — Consolidated IFRS Financial Statements (₹), FY2025–26</w:t>
      </w:r>
      <w:r>
        <w:br/>
        <w:t>Used for the income statement, balance sheet and cash flow figures for the year ended 31 March 2026 and the prior-year comparatives.</w:t>
      </w:r>
    </w:p>
    <w:p w14:paraId="3CA222DC" w14:textId="77777777" w:rsidR="00C61254" w:rsidRPr="00C61254" w:rsidRDefault="00C61254" w:rsidP="00C61254">
      <w:r>
        <w:t xml:space="preserve">Official source: </w:t>
      </w:r>
      <w:hyperlink r:id="rId6" w:tgtFrame="_blank" w:history="1">
        <w:r>
          <w:rPr>
            <w:rStyle w:val="Hyperlink"/>
          </w:rPr>
          <w:t>Infosys IFRS (₹) Consolidated Financial Statements — Q4 and FY2025–26</w:t>
        </w:r>
      </w:hyperlink>
    </w:p>
    <w:p w14:paraId="33201BCD" w14:textId="77777777" w:rsidR="00C61254" w:rsidRPr="00C61254" w:rsidRDefault="00C61254" w:rsidP="00C61254">
      <w:r>
        <w:rPr>
          <w:b/>
          <w:bCs/>
        </w:rPr>
        <w:t>3. Infosys Limited — Annual Reports and Financial Filings</w:t>
      </w:r>
      <w:r>
        <w:br/>
        <w:t>Used to access company financial reports and historical financial information.</w:t>
      </w:r>
    </w:p>
    <w:p w14:paraId="71D7650E" w14:textId="77777777" w:rsidR="00C61254" w:rsidRPr="00C61254" w:rsidRDefault="00C61254" w:rsidP="00C61254">
      <w:r>
        <w:t xml:space="preserve">Official source: </w:t>
      </w:r>
      <w:hyperlink r:id="rId7" w:tgtFrame="_blank" w:history="1">
        <w:r>
          <w:rPr>
            <w:rStyle w:val="Hyperlink"/>
          </w:rPr>
          <w:t>Infosys Investor Relations</w:t>
        </w:r>
      </w:hyperlink>
    </w:p>
    <w:p w14:paraId="6F4CC544" w14:textId="77777777" w:rsidR="00C61254" w:rsidRPr="00C61254" w:rsidRDefault="00C61254" w:rsidP="00C61254">
      <w:r>
        <w:rPr>
          <w:b/>
          <w:bCs/>
        </w:rPr>
        <w:t>4. National Stock Exchange of India (NSE)</w:t>
      </w:r>
      <w:r>
        <w:br/>
        <w:t>Used as a reference for stock market information and listed-company disclosures.</w:t>
      </w:r>
    </w:p>
    <w:p w14:paraId="6F38B338" w14:textId="77777777" w:rsidR="00C61254" w:rsidRPr="00C61254" w:rsidRDefault="00C61254" w:rsidP="00C61254">
      <w:r>
        <w:t xml:space="preserve">Official website: </w:t>
      </w:r>
      <w:hyperlink r:id="rId8" w:tgtFrame="_blank" w:history="1">
        <w:r>
          <w:rPr>
            <w:rStyle w:val="Hyperlink"/>
          </w:rPr>
          <w:t>National Stock Exchange of India</w:t>
        </w:r>
      </w:hyperlink>
    </w:p>
    <w:p w14:paraId="6D404C60" w14:textId="77777777" w:rsidR="00C61254" w:rsidRPr="00C61254" w:rsidRDefault="00C61254" w:rsidP="00C61254">
      <w:r>
        <w:rPr>
          <w:i/>
          <w:iCs/>
        </w:rPr>
        <w:t>Note: Financial figures in this report are presented on a consolidated IFRS basis, in ₹ crore, as published by Infosys. Infosys also publishes consolidated statements under Indian Accounting Standards (Ind AS), in which some line items are classified differently (for example, operating and investing cash flows), so any figure should be compared with the matching source.</w:t>
      </w:r>
    </w:p>
    <w:sectPr w:rsidR="0083632F">
      <w:footerReference w:type="default" r:id="rId11"/>
      <w:footerReference w:type="first" r:id="rId12"/>
      <w:pgSz w:w="11906" w:h="16838"/>
      <w:pgMar w:top="1440" w:right="1440" w:bottom="1440" w:left="1440"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w:p>
    <w:pPr>
      <w:pBdr>
        <w:top w:val="single" w:sz="4" w:space="6" w:color="BFBFBF"/>
      </w:pBdr>
      <w:tabs>
        <w:tab w:val="right" w:pos="9026"/>
      </w:tabs>
      <w:spacing w:after="0"/>
    </w:pPr>
    <w:r>
      <w:rPr>
        <w:color w:val="595959"/>
        <w:sz w:val="18"/>
      </w:rPr>
      <w:t xml:space="preserve">Infosys Limited — Financial Statement Analysis</w:t>
    </w:r>
    <w:r>
      <w:tab/>
    </w:r>
    <w:r>
      <w:rPr>
        <w:color w:val="595959"/>
        <w:sz w:val="18"/>
      </w:rPr>
      <w:t xml:space="preserve">Page </w:t>
    </w:r>
    <w:r>
      <w:rPr>
        <w:color w:val="595959"/>
        <w:sz w:val="18"/>
      </w:rPr>
      <w:fldChar w:fldCharType="begin"/>
    </w:r>
    <w:r>
      <w:rPr>
        <w:color w:val="595959"/>
        <w:sz w:val="18"/>
      </w:rPr>
      <w:instrText xml:space="preserve"> PAGE </w:instrText>
    </w:r>
    <w:r>
      <w:rPr>
        <w:color w:val="595959"/>
        <w:sz w:val="18"/>
      </w:rPr>
      <w:fldChar w:fldCharType="separate"/>
    </w:r>
    <w:r>
      <w:rPr>
        <w:noProof/>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 xml:space="preserve"> NUMPAGES </w:instrText>
    </w:r>
    <w:r>
      <w:rPr>
        <w:color w:val="595959"/>
        <w:sz w:val="18"/>
      </w:rPr>
      <w:fldChar w:fldCharType="separate"/>
    </w:r>
    <w:r>
      <w:rPr>
        <w:noProof/>
        <w:color w:val="595959"/>
        <w:sz w:val="18"/>
      </w:rPr>
      <w:t>1</w:t>
    </w:r>
    <w:r>
      <w:rPr>
        <w:color w:val="595959"/>
        <w:sz w:val="18"/>
      </w:rPr>
      <w:fldChar w:fldCharType="end"/>
    </w:r>
  </w:p>
</w:ftr>
</file>

<file path=word/footer2.xml><?xml version="1.0" encoding="utf-8"?>
<w:ftr xmlns:w="http://schemas.openxmlformats.org/wordprocessingml/2006/main" xmlns:r="http://schemas.openxmlformats.org/officeDocument/2006/relationships">
  <w:p>
    <w:pPr>
      <w:spacing w:after="0"/>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6414"/>
    <w:multiLevelType w:val="multilevel"/>
    <w:tmpl w:val="2410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739A7"/>
    <w:multiLevelType w:val="multilevel"/>
    <w:tmpl w:val="D378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77852"/>
    <w:multiLevelType w:val="multilevel"/>
    <w:tmpl w:val="56D22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037878"/>
    <w:multiLevelType w:val="multilevel"/>
    <w:tmpl w:val="EFE6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8D2679"/>
    <w:multiLevelType w:val="multilevel"/>
    <w:tmpl w:val="515C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0861C3"/>
    <w:multiLevelType w:val="multilevel"/>
    <w:tmpl w:val="8608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2B7F4E"/>
    <w:multiLevelType w:val="multilevel"/>
    <w:tmpl w:val="5F92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567283">
    <w:abstractNumId w:val="4"/>
  </w:num>
  <w:num w:numId="2" w16cid:durableId="60252910">
    <w:abstractNumId w:val="5"/>
  </w:num>
  <w:num w:numId="3" w16cid:durableId="1214124970">
    <w:abstractNumId w:val="2"/>
  </w:num>
  <w:num w:numId="4" w16cid:durableId="795370132">
    <w:abstractNumId w:val="3"/>
  </w:num>
  <w:num w:numId="5" w16cid:durableId="1906716100">
    <w:abstractNumId w:val="1"/>
  </w:num>
  <w:num w:numId="6" w16cid:durableId="631398077">
    <w:abstractNumId w:val="0"/>
  </w:num>
  <w:num w:numId="7" w16cid:durableId="16327888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32F"/>
    <w:rsid w:val="002867C2"/>
    <w:rsid w:val="00542E2F"/>
    <w:rsid w:val="00734340"/>
    <w:rsid w:val="0083632F"/>
    <w:rsid w:val="008F52B9"/>
    <w:rsid w:val="00C61254"/>
    <w:rsid w:val="00D320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16D36"/>
  <w15:chartTrackingRefBased/>
  <w15:docId w15:val="{A2AFFDBB-B41E-46A1-A7FA-1CFDFFFFE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32F"/>
    <w:pPr>
      <w:keepNext/>
      <w:keepLines/>
      <w:pBdr>
        <w:bottom w:val="single" w:sz="6" w:space="4" w:color="8EAADB"/>
      </w:pBdr>
      <w:spacing w:before="240" w:after="160"/>
      <w:outlineLvl w:val="0"/>
    </w:pPr>
    <w:rPr>
      <w:b/>
      <w:bCs/>
      <w:color w:val="1F3864"/>
      <w:sz w:val="32"/>
      <w:szCs w:val="32"/>
    </w:rPr>
  </w:style>
  <w:style w:type="paragraph" w:styleId="Heading2">
    <w:name w:val="heading 2"/>
    <w:basedOn w:val="Normal"/>
    <w:next w:val="Normal"/>
    <w:link w:val="Heading2Char"/>
    <w:uiPriority w:val="9"/>
    <w:unhideWhenUsed/>
    <w:qFormat/>
    <w:rsid w:val="0083632F"/>
    <w:pPr>
      <w:keepNext/>
      <w:keepLines/>
      <w:spacing w:before="280" w:after="100"/>
      <w:outlineLvl w:val="1"/>
    </w:pPr>
    <w:rPr>
      <w:b/>
      <w:bCs/>
      <w:color w:val="1F3864"/>
      <w:sz w:val="26"/>
      <w:szCs w:val="26"/>
    </w:rPr>
  </w:style>
  <w:style w:type="paragraph" w:styleId="Heading3">
    <w:name w:val="heading 3"/>
    <w:basedOn w:val="Normal"/>
    <w:next w:val="Normal"/>
    <w:link w:val="Heading3Char"/>
    <w:uiPriority w:val="9"/>
    <w:unhideWhenUsed/>
    <w:qFormat/>
    <w:rsid w:val="0083632F"/>
    <w:pPr>
      <w:keepNext/>
      <w:keepLines/>
      <w:spacing w:before="200" w:after="60"/>
      <w:outlineLvl w:val="2"/>
    </w:pPr>
    <w:rPr>
      <w:b/>
      <w:bCs/>
      <w:color w:val="2F5496"/>
      <w:sz w:val="24"/>
      <w:szCs w:val="24"/>
    </w:rPr>
  </w:style>
  <w:style w:type="paragraph" w:styleId="Heading4">
    <w:name w:val="heading 4"/>
    <w:basedOn w:val="Normal"/>
    <w:next w:val="Normal"/>
    <w:link w:val="Heading4Char"/>
    <w:uiPriority w:val="9"/>
    <w:semiHidden/>
    <w:unhideWhenUsed/>
    <w:qFormat/>
    <w:rsid w:val="00836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6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32F"/>
    <w:rPr>
      <w:rFonts w:eastAsiaTheme="majorEastAsia" w:cstheme="majorBidi"/>
      <w:color w:val="272727" w:themeColor="text1" w:themeTint="D8"/>
    </w:rPr>
  </w:style>
  <w:style w:type="paragraph" w:styleId="Title">
    <w:name w:val="Title"/>
    <w:basedOn w:val="Normal"/>
    <w:next w:val="Normal"/>
    <w:link w:val="TitleChar"/>
    <w:uiPriority w:val="10"/>
    <w:qFormat/>
    <w:rsid w:val="00836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32F"/>
    <w:pPr>
      <w:spacing w:before="160"/>
      <w:jc w:val="center"/>
    </w:pPr>
    <w:rPr>
      <w:i/>
      <w:iCs/>
      <w:color w:val="404040" w:themeColor="text1" w:themeTint="BF"/>
    </w:rPr>
  </w:style>
  <w:style w:type="character" w:customStyle="1" w:styleId="QuoteChar">
    <w:name w:val="Quote Char"/>
    <w:basedOn w:val="DefaultParagraphFont"/>
    <w:link w:val="Quote"/>
    <w:uiPriority w:val="29"/>
    <w:rsid w:val="0083632F"/>
    <w:rPr>
      <w:i/>
      <w:iCs/>
      <w:color w:val="404040" w:themeColor="text1" w:themeTint="BF"/>
    </w:rPr>
  </w:style>
  <w:style w:type="paragraph" w:styleId="ListParagraph">
    <w:name w:val="List Paragraph"/>
    <w:basedOn w:val="Normal"/>
    <w:uiPriority w:val="34"/>
    <w:qFormat/>
    <w:rsid w:val="0083632F"/>
    <w:pPr>
      <w:ind w:left="720"/>
      <w:contextualSpacing/>
    </w:pPr>
  </w:style>
  <w:style w:type="character" w:styleId="IntenseEmphasis">
    <w:name w:val="Intense Emphasis"/>
    <w:basedOn w:val="DefaultParagraphFont"/>
    <w:uiPriority w:val="21"/>
    <w:qFormat/>
    <w:rsid w:val="0083632F"/>
    <w:rPr>
      <w:i/>
      <w:iCs/>
      <w:color w:val="0F4761" w:themeColor="accent1" w:themeShade="BF"/>
    </w:rPr>
  </w:style>
  <w:style w:type="paragraph" w:styleId="IntenseQuote">
    <w:name w:val="Intense Quote"/>
    <w:basedOn w:val="Normal"/>
    <w:next w:val="Normal"/>
    <w:link w:val="IntenseQuoteChar"/>
    <w:uiPriority w:val="30"/>
    <w:qFormat/>
    <w:rsid w:val="00836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32F"/>
    <w:rPr>
      <w:i/>
      <w:iCs/>
      <w:color w:val="0F4761" w:themeColor="accent1" w:themeShade="BF"/>
    </w:rPr>
  </w:style>
  <w:style w:type="character" w:styleId="IntenseReference">
    <w:name w:val="Intense Reference"/>
    <w:basedOn w:val="DefaultParagraphFont"/>
    <w:uiPriority w:val="32"/>
    <w:qFormat/>
    <w:rsid w:val="0083632F"/>
    <w:rPr>
      <w:b/>
      <w:bCs/>
      <w:smallCaps/>
      <w:color w:val="0F4761" w:themeColor="accent1" w:themeShade="BF"/>
      <w:spacing w:val="5"/>
    </w:rPr>
  </w:style>
  <w:style w:type="character" w:styleId="Hyperlink">
    <w:name w:val="Hyperlink"/>
    <w:basedOn w:val="DefaultParagraphFont"/>
    <w:uiPriority w:val="99"/>
    <w:unhideWhenUsed/>
    <w:rsid w:val="00C61254"/>
    <w:rPr>
      <w:color w:val="467886" w:themeColor="hyperlink"/>
      <w:u w:val="single"/>
    </w:rPr>
  </w:style>
  <w:style w:type="character" w:styleId="UnresolvedMention">
    <w:name w:val="Unresolved Mention"/>
    <w:basedOn w:val="DefaultParagraphFont"/>
    <w:uiPriority w:val="99"/>
    <w:semiHidden/>
    <w:unhideWhenUsed/>
    <w:rsid w:val="00C612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seindia.com/" TargetMode="External"/><Relationship Id="rId3" Type="http://schemas.openxmlformats.org/officeDocument/2006/relationships/settings" Target="settings.xml"/><Relationship Id="rId7" Type="http://schemas.openxmlformats.org/officeDocument/2006/relationships/hyperlink" Target="https://www.infosys.com/investors/reports-filing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fosys.com/investors/reports-filings/quarterly-results/2025-2026/q4/documents/consolifrsinr-fy26-q4-and-12m-finstatement.pdf" TargetMode="External"/><Relationship Id="rId5" Type="http://schemas.openxmlformats.org/officeDocument/2006/relationships/hyperlink" Target="https://www.infosys.com/investors/reports-filings/annual-report/annual-reports/ar-2025-26.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2106</Words>
  <Characters>12010</Characters>
  <Application>Microsoft Office Word</Application>
  <DocSecurity>0</DocSecurity>
  <Lines>100</Lines>
  <Paragraphs>28</Paragraphs>
  <ScaleCrop>false</ScaleCrop>
  <Company/>
  <LinksUpToDate>false</LinksUpToDate>
  <CharactersWithSpaces>14088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Infosys Limited — Stock Market &amp; Financial Statement Analysis</dc:title>
  <dc:subject/>
  <dc:creator>Pranav Aseri</dc:creator>
  <cp:keywords/>
  <dc:description/>
  <cp:lastModifiedBy>Pranav Aseri</cp:lastModifiedBy>
  <cp:revision>6</cp:revision>
  <dcterms:created xsi:type="dcterms:W3CDTF">2026-10-16T16:14:00Z</dcterms:created>
  <dcterms:modified xsi:type="dcterms:W3CDTF">2026-10-16T16:24:00Z</dcterms:modified>
</cp:coreProperties>
</file>