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2B86" w14:textId="77777777" w:rsidR="00342BC2" w:rsidRPr="00342BC2" w:rsidRDefault="00342BC2" w:rsidP="00342BC2">
      <w:pPr>
        <w:spacing w:before="0" w:after="40"/>
        <w:jc w:val="center"/>
        <w:rPr>
          <w:b/>
          <w:bCs/>
        </w:rPr>
      </w:pPr>
      <w:r>
        <w:rPr>
          <w:b/>
          <w:bCs/>
          <w:sz w:val="32"/>
          <w:szCs w:val="32"/>
        </w:rPr>
        <w:t>STOCK MARKET FUNDAMENTALS</w:t>
      </w:r>
    </w:p>
    <w:p w14:paraId="586499CE" w14:textId="77777777" w:rsidR="00342BC2" w:rsidRPr="00342BC2" w:rsidRDefault="00342BC2" w:rsidP="00342BC2">
      <w:pPr>
        <w:spacing w:before="0" w:after="120"/>
        <w:jc w:val="center"/>
        <w:rPr>
          <w:b/>
          <w:bCs/>
        </w:rPr>
      </w:pPr>
      <w:r>
        <w:rPr>
          <w:b/>
          <w:bCs/>
          <w:sz w:val="22"/>
          <w:szCs w:val="22"/>
        </w:rPr>
        <w:t xml:space="preserve">Bluestock FinTech — Week 2 Prerequisite Assignment</w:t>
      </w:r>
    </w:p>
    <w:p w14:paraId="266D63C8" w14:textId="77777777" w:rsidR="00342BC2" w:rsidRPr="00342BC2" w:rsidRDefault="00342BC2" w:rsidP="00342BC2">
      <w:pPr>
        <w:keepLines/>
        <w:spacing w:before="0" w:after="120"/>
      </w:pPr>
      <w:r>
        <w:rPr>
          <w:b/>
          <w:bCs/>
          <w:sz w:val="22"/>
          <w:szCs w:val="22"/>
        </w:rPr>
        <w:t>1. Stock Market, NSE, BSE, Nifty &amp; Sensex</w:t>
      </w:r>
      <w:r>
        <w:br/>
        <w:t>The stock market is a marketplace where investors buy and sell shares and other securities. The National Stock Exchange (NSE) and Bombay Stock Exchange (BSE) are India’s major stock exchanges. Nifty 50 tracks 50 major companies listed on NSE, while Sensex tracks 30 major companies listed on BSE.</w:t>
      </w:r>
    </w:p>
    <w:p w14:paraId="4D99B15E" w14:textId="77777777" w:rsidR="00342BC2" w:rsidRPr="00342BC2" w:rsidRDefault="00342BC2" w:rsidP="00342BC2">
      <w:pPr>
        <w:keepLines/>
        <w:spacing w:before="0" w:after="120"/>
      </w:pPr>
      <w:r>
        <w:rPr>
          <w:b/>
          <w:bCs/>
          <w:sz w:val="22"/>
          <w:szCs w:val="22"/>
        </w:rPr>
        <w:t>2. IPO and SME IPO</w:t>
      </w:r>
      <w:r>
        <w:br/>
        <w:t>An Initial Public Offering (IPO) is when a company offers its shares to the public for the first time and lists them on a stock exchange. An SME IPO is designed for eligible small and medium-sized enterprises seeking to raise capital through a public issue.</w:t>
      </w:r>
    </w:p>
    <w:p w14:paraId="1C364874" w14:textId="77777777" w:rsidR="00342BC2" w:rsidRPr="00342BC2" w:rsidRDefault="00342BC2" w:rsidP="00342BC2">
      <w:pPr>
        <w:keepLines/>
        <w:spacing w:before="0" w:after="120"/>
      </w:pPr>
      <w:r>
        <w:rPr>
          <w:b/>
          <w:bCs/>
          <w:sz w:val="22"/>
          <w:szCs w:val="22"/>
        </w:rPr>
        <w:t>3. Market Capitalization</w:t>
      </w:r>
      <w:r>
        <w:br/>
        <w:t>Market capitalization represents the total market value of a company’s outstanding shares.</w:t>
        <w:br/>
      </w:r>
      <w:r>
        <w:rPr>
          <w:i/>
          <w:iCs/>
        </w:rPr>
        <w:t>Formula: Market Capitalization = Current Share Price × Total Outstanding Shares.</w:t>
      </w:r>
    </w:p>
    <w:p w14:paraId="698653CB" w14:textId="77777777" w:rsidR="00342BC2" w:rsidRPr="00342BC2" w:rsidRDefault="00342BC2" w:rsidP="00342BC2">
      <w:pPr>
        <w:keepNext/>
        <w:spacing w:before="0" w:after="20"/>
      </w:pPr>
      <w:r>
        <w:rPr>
          <w:b/>
          <w:bCs/>
          <w:sz w:val="22"/>
          <w:szCs w:val="22"/>
        </w:rPr>
        <w:t>4. P/E Ratio, P/B Ratio and EPS</w:t>
      </w:r>
    </w:p>
    <w:p w14:paraId="614981CA" w14:textId="77777777" w:rsidR="00342BC2" w:rsidRPr="00342BC2" w:rsidRDefault="00342BC2" w:rsidP="00342BC2">
      <w:pPr>
        <w:numPr>
          <w:ilvl w:val="0"/>
          <w:numId w:val="1"/>
        </w:numPr>
        <w:spacing w:before="0" w:after="20"/>
        <w:ind w:left="567" w:hanging="283"/>
      </w:pPr>
      <w:r>
        <w:rPr>
          <w:b/>
          <w:bCs/>
        </w:rPr>
        <w:t>P/E Ratio:</w:t>
      </w:r>
      <w:r>
        <w:t xml:space="preserve"> Share price divided by earnings per share; it compares a company’s share price with its earnings.</w:t>
      </w:r>
    </w:p>
    <w:p w14:paraId="5C050390" w14:textId="77777777" w:rsidR="00342BC2" w:rsidRPr="00342BC2" w:rsidRDefault="00342BC2" w:rsidP="00342BC2">
      <w:pPr>
        <w:numPr>
          <w:ilvl w:val="0"/>
          <w:numId w:val="1"/>
        </w:numPr>
        <w:spacing w:before="0" w:after="20"/>
        <w:ind w:left="567" w:hanging="283"/>
      </w:pPr>
      <w:r>
        <w:rPr>
          <w:b/>
          <w:bCs/>
        </w:rPr>
        <w:t>P/B Ratio:</w:t>
      </w:r>
      <w:r>
        <w:t xml:space="preserve"> Market price per share divided by book value per share; it compares market value with accounting book value.</w:t>
      </w:r>
    </w:p>
    <w:p w14:paraId="47669BB4" w14:textId="77777777" w:rsidR="00342BC2" w:rsidRPr="00342BC2" w:rsidRDefault="00342BC2" w:rsidP="00342BC2">
      <w:pPr>
        <w:numPr>
          <w:ilvl w:val="0"/>
          <w:numId w:val="1"/>
        </w:numPr>
        <w:spacing w:before="0" w:after="120"/>
        <w:ind w:left="567" w:hanging="283"/>
      </w:pPr>
      <w:r>
        <w:rPr>
          <w:b/>
          <w:bCs/>
        </w:rPr>
        <w:t>EPS (Earnings Per Share):</w:t>
      </w:r>
      <w:r>
        <w:t xml:space="preserve"> Profit attributable to ordinary shareholders divided by the weighted-average number of ordinary shares.</w:t>
      </w:r>
    </w:p>
    <w:p w14:paraId="467033EA" w14:textId="77777777" w:rsidR="00342BC2" w:rsidRPr="00342BC2" w:rsidRDefault="00342BC2" w:rsidP="00342BC2">
      <w:pPr>
        <w:keepLines/>
        <w:spacing w:before="0" w:after="120"/>
      </w:pPr>
      <w:r>
        <w:rPr>
          <w:b/>
          <w:bCs/>
          <w:sz w:val="22"/>
          <w:szCs w:val="22"/>
        </w:rPr>
        <w:t>5. Dividend, Bonus Shares and Stock Split</w:t>
      </w:r>
      <w:r>
        <w:br/>
        <w:t>A dividend is a portion of profits that a company may distribute to shareholders. Bonus shares are additional shares issued to existing shareholders without additional payment. A stock split divides existing shares into a larger number of shares, generally reducing the price per share proportionately without changing the total value solely because of the split.</w:t>
      </w:r>
    </w:p>
    <w:p w14:paraId="59846495" w14:textId="77777777" w:rsidR="00342BC2" w:rsidRPr="00342BC2" w:rsidRDefault="00342BC2" w:rsidP="00342BC2">
      <w:pPr>
        <w:keepLines/>
        <w:spacing w:before="0" w:after="120"/>
      </w:pPr>
      <w:r>
        <w:rPr>
          <w:b/>
          <w:bCs/>
          <w:sz w:val="22"/>
          <w:szCs w:val="22"/>
        </w:rPr>
        <w:t>6. Trading Volume</w:t>
      </w:r>
      <w:r>
        <w:br/>
        <w:t>Trading volume is the number of shares traded during a specified period. It helps analysts understand trading activity and market interest in a security.</w:t>
      </w:r>
    </w:p>
    <w:p w14:paraId="47139A65" w14:textId="77777777" w:rsidR="00342BC2" w:rsidRPr="00342BC2" w:rsidRDefault="00342BC2" w:rsidP="00342BC2">
      <w:pPr>
        <w:keepNext/>
        <w:spacing w:before="0" w:after="20"/>
      </w:pPr>
      <w:r>
        <w:rPr>
          <w:b/>
          <w:bCs/>
          <w:sz w:val="22"/>
          <w:szCs w:val="22"/>
        </w:rPr>
        <w:t>7. Company Financial Statements</w:t>
      </w:r>
    </w:p>
    <w:p w14:paraId="5616EE9B" w14:textId="77777777" w:rsidR="00342BC2" w:rsidRPr="00342BC2" w:rsidRDefault="00342BC2" w:rsidP="00342BC2">
      <w:pPr>
        <w:numPr>
          <w:ilvl w:val="0"/>
          <w:numId w:val="2"/>
        </w:numPr>
        <w:spacing w:before="0" w:after="20"/>
        <w:ind w:left="567" w:hanging="283"/>
      </w:pPr>
      <w:r>
        <w:rPr>
          <w:b/>
          <w:bCs/>
        </w:rPr>
        <w:t>Profit &amp; Loss Statement:</w:t>
      </w:r>
      <w:r>
        <w:t xml:space="preserve"> Reports revenue, expenses and profit or loss over a period.</w:t>
      </w:r>
    </w:p>
    <w:p w14:paraId="48CC88F3" w14:textId="77777777" w:rsidR="00342BC2" w:rsidRPr="00342BC2" w:rsidRDefault="00342BC2" w:rsidP="00342BC2">
      <w:pPr>
        <w:numPr>
          <w:ilvl w:val="0"/>
          <w:numId w:val="2"/>
        </w:numPr>
        <w:spacing w:before="0" w:after="20"/>
        <w:ind w:left="567" w:hanging="283"/>
      </w:pPr>
      <w:r>
        <w:rPr>
          <w:b/>
          <w:bCs/>
        </w:rPr>
        <w:lastRenderedPageBreak/>
        <w:t>Balance Sheet:</w:t>
      </w:r>
      <w:r>
        <w:t xml:space="preserve"> Reports assets, liabilities and shareholders’ equity at a particular date.</w:t>
      </w:r>
    </w:p>
    <w:p w14:paraId="69AEA78B" w14:textId="77777777" w:rsidR="00342BC2" w:rsidRPr="00342BC2" w:rsidRDefault="00342BC2" w:rsidP="00342BC2">
      <w:pPr>
        <w:numPr>
          <w:ilvl w:val="0"/>
          <w:numId w:val="2"/>
        </w:numPr>
        <w:spacing w:before="0" w:after="120"/>
        <w:ind w:left="567" w:hanging="283"/>
      </w:pPr>
      <w:r>
        <w:rPr>
          <w:b/>
          <w:bCs/>
        </w:rPr>
        <w:t>Cash Flow Statement:</w:t>
      </w:r>
      <w:r>
        <w:t xml:space="preserve"> Reports cash generated and used by operating, investing and financing activities.</w:t>
      </w:r>
    </w:p>
    <w:p w14:paraId="6C5E7475" w14:textId="77777777" w:rsidR="00342BC2" w:rsidRPr="00342BC2" w:rsidRDefault="00342BC2" w:rsidP="00342BC2">
      <w:pPr>
        <w:keepLines/>
        <w:spacing w:before="0" w:after="120"/>
      </w:pPr>
      <w:r>
        <w:rPr>
          <w:b/>
          <w:bCs/>
          <w:sz w:val="22"/>
          <w:szCs w:val="22"/>
        </w:rPr>
        <w:t>8. Basic Financial Ratios</w:t>
      </w:r>
      <w:r>
        <w:br/>
        <w:t>Financial ratios help evaluate business performance and financial position. Common examples include the current ratio (current assets ÷ current liabilities), net profit margin (net profit ÷ revenue × 100), and debt-to-equity ratio (total debt ÷ shareholders’ equity). Ratios should be interpreted in the context of the company’s industry and accounting definitions.</w:t>
      </w:r>
    </w:p>
    <w:p w14:paraId="7EA69B18" w14:textId="77777777" w:rsidR="00342BC2" w:rsidRPr="00342BC2" w:rsidRDefault="00342BC2" w:rsidP="00342BC2">
      <w:pPr>
        <w:spacing w:before="0" w:after="120"/>
      </w:pPr>
      <w:r>
        <w:rPr>
          <w:b/>
          <w:bCs/>
        </w:rPr>
        <w:t>Conclusion:</w:t>
      </w:r>
      <w:r>
        <w:t xml:space="preserve"> Understanding stock market concepts and financial statements helps Data Analysts interpret financial datasets, assess business performance and communicate meaningful insights. This knowledge supports data analysis and domain understanding; it is not investment advice.</w:t>
      </w:r>
    </w:p>
    <w:p w14:paraId="5898EBD1" w14:textId="77777777" w:rsidR="00342BC2" w:rsidRPr="00342BC2" w:rsidRDefault="00342BC2" w:rsidP="00342BC2">
      <w:pPr>
        <w:spacing w:before="0" w:after="0"/>
      </w:pPr>
      <w:r>
        <w:rPr>
          <w:b/>
          <w:bCs/>
        </w:rPr>
        <w:t>References:</w:t>
      </w:r>
      <w:r>
        <w:t xml:space="preserve"> SEBI Investor Education — Securities Market and Investor Education Materials; NSE India — Investor Education Resources.</w:t>
      </w:r>
    </w:p>
    <w:sectPr w:rsidR="00E42F6F">
      <w:pgSz w:w="11906" w:h="16838"/>
      <w:pgMar w:top="720" w:right="720" w:bottom="720" w:left="720" w:header="360" w:footer="36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04041"/>
    <w:multiLevelType w:val="multilevel"/>
    <w:tmpl w:val="6A1C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3748A"/>
    <w:multiLevelType w:val="multilevel"/>
    <w:tmpl w:val="57F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175845">
    <w:abstractNumId w:val="1"/>
  </w:num>
  <w:num w:numId="2" w16cid:durableId="197965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6F"/>
    <w:rsid w:val="00342BC2"/>
    <w:rsid w:val="00E42F6F"/>
    <w:rsid w:val="00EE1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34811-B009-4EC2-997A-3463487E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kern w:val="2"/>
        <w:sz w:val="22"/>
        <w:szCs w:val="22"/>
        <w:lang w:val="en-IN" w:eastAsia="en-US" w:bidi="ar-SA"/>
        <w14:ligatures w14:val="standardContextual"/>
      </w:rPr>
    </w:rPrDefault>
    <w:pPrDefault>
      <w:pPr>
        <w:spacing w:after="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F6F"/>
    <w:rPr>
      <w:rFonts w:eastAsiaTheme="majorEastAsia" w:cstheme="majorBidi"/>
      <w:color w:val="272727" w:themeColor="text1" w:themeTint="D8"/>
    </w:rPr>
  </w:style>
  <w:style w:type="paragraph" w:styleId="Title">
    <w:name w:val="Title"/>
    <w:basedOn w:val="Normal"/>
    <w:next w:val="Normal"/>
    <w:link w:val="TitleChar"/>
    <w:uiPriority w:val="10"/>
    <w:qFormat/>
    <w:rsid w:val="00E4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F6F"/>
    <w:pPr>
      <w:spacing w:before="160"/>
      <w:jc w:val="center"/>
    </w:pPr>
    <w:rPr>
      <w:i/>
      <w:iCs/>
      <w:color w:val="404040" w:themeColor="text1" w:themeTint="BF"/>
    </w:rPr>
  </w:style>
  <w:style w:type="character" w:customStyle="1" w:styleId="QuoteChar">
    <w:name w:val="Quote Char"/>
    <w:basedOn w:val="DefaultParagraphFont"/>
    <w:link w:val="Quote"/>
    <w:uiPriority w:val="29"/>
    <w:rsid w:val="00E42F6F"/>
    <w:rPr>
      <w:i/>
      <w:iCs/>
      <w:color w:val="404040" w:themeColor="text1" w:themeTint="BF"/>
    </w:rPr>
  </w:style>
  <w:style w:type="paragraph" w:styleId="ListParagraph">
    <w:name w:val="List Paragraph"/>
    <w:basedOn w:val="Normal"/>
    <w:uiPriority w:val="34"/>
    <w:qFormat/>
    <w:rsid w:val="00E42F6F"/>
    <w:pPr>
      <w:ind w:left="720"/>
      <w:contextualSpacing/>
    </w:pPr>
  </w:style>
  <w:style w:type="character" w:styleId="IntenseEmphasis">
    <w:name w:val="Intense Emphasis"/>
    <w:basedOn w:val="DefaultParagraphFont"/>
    <w:uiPriority w:val="21"/>
    <w:qFormat/>
    <w:rsid w:val="00E42F6F"/>
    <w:rPr>
      <w:i/>
      <w:iCs/>
      <w:color w:val="0F4761" w:themeColor="accent1" w:themeShade="BF"/>
    </w:rPr>
  </w:style>
  <w:style w:type="paragraph" w:styleId="IntenseQuote">
    <w:name w:val="Intense Quote"/>
    <w:basedOn w:val="Normal"/>
    <w:next w:val="Normal"/>
    <w:link w:val="IntenseQuoteChar"/>
    <w:uiPriority w:val="30"/>
    <w:qFormat/>
    <w:rsid w:val="00E4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F6F"/>
    <w:rPr>
      <w:i/>
      <w:iCs/>
      <w:color w:val="0F4761" w:themeColor="accent1" w:themeShade="BF"/>
    </w:rPr>
  </w:style>
  <w:style w:type="character" w:styleId="IntenseReference">
    <w:name w:val="Intense Reference"/>
    <w:basedOn w:val="DefaultParagraphFont"/>
    <w:uiPriority w:val="32"/>
    <w:qFormat/>
    <w:rsid w:val="00E42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Aseri</dc:creator>
  <cp:keywords/>
  <dc:description/>
  <cp:lastModifiedBy>Pranav Aseri</cp:lastModifiedBy>
  <cp:revision>2</cp:revision>
  <dcterms:created xsi:type="dcterms:W3CDTF">2026-10-17T14:19:00Z</dcterms:created>
  <dcterms:modified xsi:type="dcterms:W3CDTF">2026-10-17T14:19:00Z</dcterms:modified>
</cp:coreProperties>
</file>