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80" w:before="0"/>
        <w:jc w:val="center"/>
      </w:pPr>
      <w:r>
        <w:rPr>
          <w:rFonts w:ascii="Arial" w:cs="Arial" w:eastAsia="Arial" w:hAnsi="Arial"/>
          <w:b/>
          <w:bCs/>
          <w:color w:val="0EA5E9"/>
          <w:sz w:val="44"/>
          <w:szCs w:val="44"/>
        </w:rPr>
        <w:t xml:space="preserve">AI Tools for Managing Infodemics</w:t>
      </w:r>
    </w:p>
    <w:p>
      <w:pPr>
        <w:spacing w:after="140" w:before="0"/>
        <w:jc w:val="center"/>
      </w:pPr>
      <w:r>
        <w:rPr>
          <w:rFonts w:ascii="Arial" w:cs="Arial" w:eastAsia="Arial" w:hAnsi="Arial"/>
          <w:b/>
          <w:bCs/>
          <w:color w:val="0C1A2E"/>
          <w:sz w:val="28"/>
          <w:szCs w:val="28"/>
        </w:rPr>
        <w:t xml:space="preserve">Health Misinformation in Video-based Social Media</w:t>
      </w:r>
    </w:p>
    <w:p>
      <w:pPr>
        <w:spacing w:after="600" w:before="0"/>
        <w:jc w:val="center"/>
      </w:pPr>
      <w:r>
        <w:rPr>
          <w:rFonts w:ascii="Arial" w:cs="Arial" w:eastAsia="Arial" w:hAnsi="Arial"/>
          <w:i/>
          <w:iCs/>
          <w:color w:val="444444"/>
          <w:sz w:val="26"/>
          <w:szCs w:val="26"/>
        </w:rPr>
        <w:t xml:space="preserve">Project Management Document</w:t>
      </w:r>
    </w:p>
    <w:p>
      <w:pPr>
        <w:spacing w:after="80" w:before="0"/>
        <w:jc w:val="center"/>
      </w:pPr>
      <w:r>
        <w:rPr>
          <w:rFonts w:ascii="Arial" w:cs="Arial" w:eastAsia="Arial" w:hAnsi="Arial"/>
          <w:color w:val="444444"/>
          <w:sz w:val="20"/>
          <w:szCs w:val="20"/>
        </w:rPr>
        <w:t xml:space="preserve">Spring 2026  |  University of Illinois Urbana-Champaign  |  CHIME Lab</w:t>
      </w:r>
    </w:p>
    <w:p>
      <w:pPr>
        <w:spacing w:after="600" w:before="0"/>
        <w:jc w:val="center"/>
      </w:pPr>
      <w:r>
        <w:rPr>
          <w:rFonts w:ascii="Arial" w:cs="Arial" w:eastAsia="Arial" w:hAnsi="Arial"/>
          <w:color w:val="444444"/>
          <w:sz w:val="20"/>
          <w:szCs w:val="20"/>
        </w:rPr>
        <w:t xml:space="preserve">Instructor: Dr. Brooks</w:t>
      </w:r>
    </w:p>
    <w:p>
      <w:pPr>
        <w:spacing w:after="120" w:before="0"/>
        <w:jc w:val="center"/>
      </w:pPr>
      <w:r>
        <w:rPr>
          <w:rFonts w:ascii="Arial" w:cs="Arial" w:eastAsia="Arial" w:hAnsi="Arial"/>
          <w:b/>
          <w:bCs/>
          <w:color w:val="0C1A2E"/>
          <w:sz w:val="22"/>
          <w:szCs w:val="22"/>
        </w:rPr>
        <w:t xml:space="preserve">Team</w:t>
      </w:r>
    </w:p>
    <w:p>
      <w:pPr>
        <w:spacing w:after="60" w:before="0"/>
        <w:jc w:val="center"/>
      </w:pPr>
      <w:r>
        <w:rPr>
          <w:rFonts w:ascii="Arial" w:cs="Arial" w:eastAsia="Arial" w:hAnsi="Arial"/>
          <w:color w:val="444444"/>
          <w:sz w:val="20"/>
          <w:szCs w:val="20"/>
        </w:rPr>
        <w:t xml:space="preserve">Pranav CR (Lead Engineer)</w:t>
      </w:r>
    </w:p>
    <w:p>
      <w:pPr>
        <w:spacing w:after="60" w:before="0"/>
        <w:jc w:val="center"/>
      </w:pPr>
      <w:r>
        <w:rPr>
          <w:rFonts w:ascii="Arial" w:cs="Arial" w:eastAsia="Arial" w:hAnsi="Arial"/>
          <w:color w:val="444444"/>
          <w:sz w:val="20"/>
          <w:szCs w:val="20"/>
        </w:rPr>
        <w:t xml:space="preserve">Aanchal Malhotra  |  Soobin Jang  (Task 3 — Modality Comparison)</w:t>
      </w:r>
    </w:p>
    <w:p>
      <w:pPr>
        <w:spacing w:after="60" w:before="0"/>
        <w:jc w:val="center"/>
      </w:pPr>
      <w:r>
        <w:rPr>
          <w:rFonts w:ascii="Arial" w:cs="Arial" w:eastAsia="Arial" w:hAnsi="Arial"/>
          <w:color w:val="444444"/>
          <w:sz w:val="20"/>
          <w:szCs w:val="20"/>
        </w:rPr>
        <w:t xml:space="preserve">Anusha Namburu  |  Anjali Penamutcha  |  Shreya Srinivasan  (Task 4 — Model Disagreement)</w:t>
      </w:r>
    </w:p>
    <w:p>
      <w:pPr>
        <w:spacing w:after="60" w:before="0"/>
        <w:jc w:val="center"/>
      </w:pPr>
      <w:r>
        <w:rPr>
          <w:rFonts w:ascii="Arial" w:cs="Arial" w:eastAsia="Arial" w:hAnsi="Arial"/>
          <w:color w:val="444444"/>
          <w:sz w:val="20"/>
          <w:szCs w:val="20"/>
        </w:rPr>
        <w:t xml:space="preserve">Upasana  |  Suha  |  Ananya  (Task 5 — Claim-Level Classification)</w:t>
      </w:r>
    </w:p>
    <w:p>
      <w:pPr>
        <w:spacing w:after="0" w:before="0"/>
      </w:pPr>
      <w:r>
        <w:br w:type="page"/>
      </w:r>
    </w:p>
    <w:p>
      <w:pPr>
        <w:pStyle w:val="Heading1"/>
        <w:pBdr>
          <w:bottom w:val="single" w:color="0EA5E9" w:sz="4" w:space="4"/>
        </w:pBdr>
        <w:spacing w:after="160" w:before="400"/>
      </w:pPr>
      <w:r>
        <w:rPr>
          <w:rFonts w:ascii="Arial" w:cs="Arial" w:eastAsia="Arial" w:hAnsi="Arial"/>
          <w:b/>
          <w:bCs/>
          <w:color w:val="0C1A2E"/>
          <w:sz w:val="30"/>
          <w:szCs w:val="30"/>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Project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WHO Infodemic Monitor</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Course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AI Tools for Managing Infodemics (Health Misinformation in Video-based Social Media)</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Duration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February 2026 — April 2026 (Spring 2026)</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Team Size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12 members across 4 workstreams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Deliverable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Production cloud-deployed AI platform + 3 research tracks</w:t>
            </w:r>
          </w:p>
        </w:tc>
      </w:tr>
      <w:tr>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Target 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WHO representatives, public health researchers, and analysts</w:t>
            </w:r>
          </w:p>
        </w:tc>
      </w:tr>
    </w:tbl>
    <w:p>
      <w:pPr>
        <w:spacing w:after="60" w:before="0"/>
      </w:pPr>
      <w:r>
        <w:t xml:space="preserve"/>
      </w:r>
    </w:p>
    <w:p>
      <w:pPr>
        <w:spacing w:after="80" w:before="60"/>
        <w:jc w:val="both"/>
      </w:pPr>
      <w:r>
        <w:rPr>
          <w:rFonts w:ascii="Arial" w:cs="Arial" w:eastAsia="Arial" w:hAnsi="Arial"/>
          <w:color w:val="444444"/>
          <w:sz w:val="20"/>
          <w:szCs w:val="20"/>
        </w:rPr>
        <w:t xml:space="preserve">The WHO Infodemic Monitor is a production-grade AI system for detecting health misinformation in short-form video (TikTok, Instagram Reels, YouTube Shorts). The system ingests a video, runs it through a transcription and LLM reasoning pipeline, grounds the verdict in PubMed peer-reviewed literature, and returns a structured, explainable classification result. Three parallel research tracks investigated pipeline design, model reliability, and classification granularity to inform future development.</w:t>
      </w:r>
    </w:p>
    <w:p>
      <w:pPr>
        <w:spacing w:after="60" w:before="0"/>
      </w:pPr>
      <w:r>
        <w:t xml:space="preserve"/>
      </w:r>
    </w:p>
    <w:p>
      <w:pPr>
        <w:pStyle w:val="Heading1"/>
        <w:pBdr>
          <w:bottom w:val="single" w:color="0EA5E9" w:sz="4" w:space="4"/>
        </w:pBdr>
        <w:spacing w:after="160" w:before="400"/>
      </w:pPr>
      <w:r>
        <w:rPr>
          <w:rFonts w:ascii="Arial" w:cs="Arial" w:eastAsia="Arial" w:hAnsi="Arial"/>
          <w:b/>
          <w:bCs/>
          <w:color w:val="0C1A2E"/>
          <w:sz w:val="30"/>
          <w:szCs w:val="30"/>
        </w:rPr>
        <w:t xml:space="preserve">2. Team Structure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Member(s)</w:t>
            </w:r>
          </w:p>
        </w:tc>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Role</w:t>
            </w:r>
          </w:p>
        </w:tc>
        <w:tc>
          <w:tcPr>
            <w:tcW w:type="dxa" w:w="47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Pranav CR</w:t>
            </w:r>
          </w:p>
        </w:tc>
        <w:tc>
          <w:tcPr>
            <w:tcW w:type="dxa" w:w="22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Lead Engineer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Full-stack system design and implementation; cloud deployment (Vercel, Railway, Supabase, Upstash); LLM pipeline; PubMed grounding; authentication; CI/CD; architecture decisions; team coordination</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Aanchal Malhotra
Soobin Jang</w:t>
            </w:r>
          </w:p>
        </w:tc>
        <w:tc>
          <w:tcPr>
            <w:tcW w:type="dxa" w:w="22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Task 3 Research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Designed and ran the modality comparison experiment (audio-only vs visual-only vs multimodal); collected and processed 5 TikTok test videos; generated per-video label and confidence analysis; produced production pipeline recommendation</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Anusha Namburu
Anjali Penamutcha
Shreya Srinivasan</w:t>
            </w:r>
          </w:p>
        </w:tc>
        <w:tc>
          <w:tcPr>
            <w:tcW w:type="dxa" w:w="22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Task 4 Research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Analyzed Llama 2, Mistral, and Gemma model agreement/disagreement on health misinformation classification; designed controlled evaluation protocol; produced agreement and disagreement matrices; identified production routing implications</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Upasana
Suha
Ananya</w:t>
            </w:r>
          </w:p>
        </w:tc>
        <w:tc>
          <w:tcPr>
            <w:tcW w:type="dxa" w:w="22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Task 5 Research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Explored claim-level classification as an alternative to video-level labels; tested LLM-based claim extraction and per-claim JSON output structure; evaluated consistency and interpretability; documented feasibility findings and future direction</w:t>
            </w:r>
          </w:p>
        </w:tc>
      </w:tr>
    </w:tbl>
    <w:p>
      <w:pPr>
        <w:spacing w:after="60" w:before="0"/>
      </w:pPr>
      <w:r>
        <w:t xml:space="preserve"/>
      </w:r>
    </w:p>
    <w:p>
      <w:pPr>
        <w:pStyle w:val="Heading1"/>
        <w:pBdr>
          <w:bottom w:val="single" w:color="0EA5E9" w:sz="4" w:space="4"/>
        </w:pBdr>
        <w:spacing w:after="160" w:before="400"/>
      </w:pPr>
      <w:r>
        <w:rPr>
          <w:rFonts w:ascii="Arial" w:cs="Arial" w:eastAsia="Arial" w:hAnsi="Arial"/>
          <w:b/>
          <w:bCs/>
          <w:color w:val="0C1A2E"/>
          <w:sz w:val="30"/>
          <w:szCs w:val="30"/>
        </w:rPr>
        <w:t xml:space="preserve">3.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Period</w:t>
            </w:r>
          </w:p>
        </w:tc>
        <w:tc>
          <w:tcPr>
            <w:tcW w:type="dxa" w:w="1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Milestone</w:t>
            </w:r>
          </w:p>
        </w:tc>
        <w:tc>
          <w:tcPr>
            <w:tcW w:type="dxa" w:w="59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Feb Week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Project Kickoff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Project scope defined; team workstreams assigned; old Docker-based prototype reviewed and audited for reusable components; new cloud-native repository initialized</w:t>
            </w:r>
          </w:p>
        </w:tc>
      </w:tr>
      <w:tr>
        <w:tc>
          <w:tcPr>
            <w:tcW w:type="dxa" w:w="16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Feb Week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Core Pipeline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Config hardening (Slice A); Supabase Storage backend (Slice B); async PubMed grounding with parallel claim queries (Slice C); worker hardening with typed exceptions (Slice D)</w:t>
            </w:r>
          </w:p>
        </w:tc>
      </w:tr>
      <w:tr>
        <w:tc>
          <w:tcPr>
            <w:tcW w:type="dxa" w:w="16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Feb Week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Auth &amp; Health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Supabase JWT authentication middleware (Slice E); expanded /health endpoint checking DB, Redis, storage, and inference provider (Slice F)</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Mar Week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Deployment Config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Railway deployment config for API and worker services; Vercel frontend setup; Supabase Auth integration; authenticated API client (Slice G). Parallel: Task 3 and Task 4 research begins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Mar Week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Frontend + Research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Job history dashboard and result detail pages (Slice H). Task 3: modality comparison experiment running on 5 TikTok videos. Task 4: controlled model evaluation protocol designed and executed</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Mar Week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Research Analysis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Task 3: results analyzed; production pipeline recommendation formalized. Task 4: agreement/disagreement matrices generated; routing implications documented. Task 5: claim-level classification feasibility testing begins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Apr Week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Production Deploy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Full end-to-end cloud deployment completed: Vercel (frontend), Railway (API), Supabase (DB + Storage + Auth), Upstash Redis (broker). Database migrations run against production Supabase. System validated on 4 live videos across all 4 classification labels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Apr Week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Validation &amp; Docs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End-to-end pipeline validated in production. PubMed grounding confirmed working for MISINFO results. Presentation deck prepared (14 slides). End of semester report drafted. HANDOFF.md written for incoming teams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Apr Week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Final Submission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deliverables finalized: production system, presentation, end of semester report, project management document. Codebase credentials scrubbed and pushed to school GitHub</w:t>
            </w:r>
          </w:p>
        </w:tc>
      </w:tr>
    </w:tbl>
    <w:p>
      <w:pPr>
        <w:spacing w:after="60" w:before="0"/>
      </w:pPr>
      <w:r>
        <w:t xml:space="preserve"/>
      </w:r>
    </w:p>
    <w:p>
      <w:pPr>
        <w:pStyle w:val="Heading1"/>
        <w:pBdr>
          <w:bottom w:val="single" w:color="0EA5E9" w:sz="4" w:space="4"/>
        </w:pBdr>
        <w:spacing w:after="160" w:before="400"/>
      </w:pPr>
      <w:r>
        <w:rPr>
          <w:rFonts w:ascii="Arial" w:cs="Arial" w:eastAsia="Arial" w:hAnsi="Arial"/>
          <w:b/>
          <w:bCs/>
          <w:color w:val="0C1A2E"/>
          <w:sz w:val="30"/>
          <w:szCs w:val="30"/>
        </w:rPr>
        <w:t xml:space="preserve">4. Work Breakdown Structure</w:t>
      </w:r>
    </w:p>
    <w:p>
      <w:pPr>
        <w:pStyle w:val="Heading2"/>
        <w:spacing w:after="120" w:before="280"/>
      </w:pPr>
      <w:r>
        <w:rPr>
          <w:rFonts w:ascii="Arial" w:cs="Arial" w:eastAsia="Arial" w:hAnsi="Arial"/>
          <w:b/>
          <w:bCs/>
          <w:color w:val="0C1A2E"/>
          <w:sz w:val="24"/>
          <w:szCs w:val="24"/>
        </w:rPr>
        <w:t xml:space="preserve">4.1 Production System (Pranav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Slice</w:t>
            </w:r>
          </w:p>
        </w:tc>
        <w:tc>
          <w:tcPr>
            <w:tcW w:type="dxa" w:w="2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Component</w:t>
            </w:r>
          </w:p>
        </w:tc>
        <w:tc>
          <w:tcPr>
            <w:tcW w:type="dxa" w:w="58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Deliverable</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Config Hardening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tunable values centralized in config.py; Alembic parameterized; migration race condition fixed; CELERY_CONCURRENCY, WHISPER_MODEL_SIZE env vars added</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Supabase 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SupabaseBackend implementation; video upload to cloud bucket; worker downloads to temp file; migration 0002 for storage_key column</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Async PubMed Grounding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ground_transcript() converted to async; httpx replacing requests; asyncio.gather for parallel claim queries; Ollama dependency removed</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Worker Hardening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Typed exception hierarchy (StorageError, TranscriptionError, etc.); get_whisper_model() singleton; worker_ready signal for model pre-loading; error_code on Job model</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Auth Middleware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Supabase JWT verification; REQUIRE_AUTH flag; protected routes; CORS configuration</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Health Check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GET /health endpoint verifying DB, Redis, storage, and inference provider; 503 on unhealthy status</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Deployment Config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railway.toml; Dockerfile slim build; Next.js Supabase Auth; middleware.ts; authenticated apiFetch; login page</w:t>
            </w:r>
          </w:p>
        </w:tc>
      </w:tr>
      <w:tr>
        <w:tc>
          <w:tcPr>
            <w:tcW w:type="dxa" w:w="7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Job Dashboard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GET /jobs endpoint; job history list page; result detail page; 5-second polling; PubMed citation display</w:t>
            </w:r>
          </w:p>
        </w:tc>
      </w:tr>
    </w:tbl>
    <w:p>
      <w:pPr>
        <w:spacing w:after="60" w:before="0"/>
      </w:pPr>
      <w:r>
        <w:t xml:space="preserve"/>
      </w:r>
    </w:p>
    <w:p>
      <w:pPr>
        <w:pStyle w:val="Heading2"/>
        <w:spacing w:after="120" w:before="280"/>
      </w:pPr>
      <w:r>
        <w:rPr>
          <w:rFonts w:ascii="Arial" w:cs="Arial" w:eastAsia="Arial" w:hAnsi="Arial"/>
          <w:b/>
          <w:bCs/>
          <w:color w:val="0C1A2E"/>
          <w:sz w:val="24"/>
          <w:szCs w:val="24"/>
        </w:rPr>
        <w:t xml:space="preserve">4.2 Research Track 3 — Modality Comparison (Aanchal Malhotra, Soobin Jang)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Task</w:t>
            </w:r>
          </w:p>
        </w:tc>
        <w:tc>
          <w:tcPr>
            <w:tcW w:type="dxa" w:w="69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Deliverable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Dataset Collection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5 TikTok videos collected across factual and misinformation content categories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Experiment Design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Controlled 3-mode evaluation: audio-only, visual-only (EasyOCR), multimodal — same Mistral 7B model and prompt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Results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Per-video label and confidence comparison; latency measurement per mode; 0% label change finding documented</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Production Recommendation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Audio-first pipeline with conditional OCR trigger at confidence &lt; 0.60; cost-accuracy tradeoff analysis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End of semester research report submitted; results integrated into team presentation (slides 9-10)</w:t>
            </w:r>
          </w:p>
        </w:tc>
      </w:tr>
    </w:tbl>
    <w:p>
      <w:pPr>
        <w:spacing w:after="60" w:before="0"/>
      </w:pPr>
      <w:r>
        <w:t xml:space="preserve"/>
      </w:r>
    </w:p>
    <w:p>
      <w:pPr>
        <w:pStyle w:val="Heading2"/>
        <w:spacing w:after="120" w:before="280"/>
      </w:pPr>
      <w:r>
        <w:rPr>
          <w:rFonts w:ascii="Arial" w:cs="Arial" w:eastAsia="Arial" w:hAnsi="Arial"/>
          <w:b/>
          <w:bCs/>
          <w:color w:val="0C1A2E"/>
          <w:sz w:val="24"/>
          <w:szCs w:val="24"/>
        </w:rPr>
        <w:t xml:space="preserve">4.3 Research Track 4 — Model Disagreement Analysis (Anusha Namburu, Anjali Penamutcha, Shreya Srinivasan)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Task</w:t>
            </w:r>
          </w:p>
        </w:tc>
        <w:tc>
          <w:tcPr>
            <w:tcW w:type="dxa" w:w="69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Deliverable</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Dataset Preparation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New TikTok videos collected with factual and misinformation ground truth labels; Whisper + OCR preprocessing applied</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Evaluation Protocol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Controlled inference across Llama 2, Mistral, and Gemma under identical prompt, temperature, and preprocessing conditions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Agreement Matrices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Pairwise model agreement matrix (1.0 = complete agreement) and disagreement matrix (0.0 = no disagreement) generated for Llama 2 x Mistral</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Production Implications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Agreement-based routing signal identified: high-agreement cases route to automated output, disagreement cases flagged for human review</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End of semester research report submitted; results integrated into team presentation (slides 11-12)</w:t>
            </w:r>
          </w:p>
        </w:tc>
      </w:tr>
    </w:tbl>
    <w:p>
      <w:pPr>
        <w:spacing w:after="60" w:before="0"/>
      </w:pPr>
      <w:r>
        <w:t xml:space="preserve"/>
      </w:r>
    </w:p>
    <w:p>
      <w:pPr>
        <w:pStyle w:val="Heading2"/>
        <w:spacing w:after="120" w:before="280"/>
      </w:pPr>
      <w:r>
        <w:rPr>
          <w:rFonts w:ascii="Arial" w:cs="Arial" w:eastAsia="Arial" w:hAnsi="Arial"/>
          <w:b/>
          <w:bCs/>
          <w:color w:val="0C1A2E"/>
          <w:sz w:val="24"/>
          <w:szCs w:val="24"/>
        </w:rPr>
        <w:t xml:space="preserve">4.4 Research Track 5 — Claim-Level Classification (Upasana, Suha, Ananya)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Task</w:t>
            </w:r>
          </w:p>
        </w:tc>
        <w:tc>
          <w:tcPr>
            <w:tcW w:type="dxa" w:w="69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Deliverable</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Workflow Design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Claim extraction prompt designed to decompose video transcripts into individual health assertions with per-claim JSON output</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Feasibility Testing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LLM-based claim extraction tested across sample videos; outputs evaluated for consistency, interpretability, and alignment with video-level verdict</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Findings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Claim-level outputs improve explainability by linking decisions to individual statements; formal evaluation against labeled ground truth identified as next step</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Feasibility report submitted; findings documented as future direction in team end of semester report</w:t>
            </w:r>
          </w:p>
        </w:tc>
      </w:tr>
    </w:tbl>
    <w:p>
      <w:pPr>
        <w:spacing w:after="60" w:before="0"/>
      </w:pPr>
      <w:r>
        <w:t xml:space="preserve"/>
      </w:r>
    </w:p>
    <w:p>
      <w:pPr>
        <w:pStyle w:val="Heading1"/>
        <w:pBdr>
          <w:bottom w:val="single" w:color="0EA5E9" w:sz="4" w:space="4"/>
        </w:pBdr>
        <w:spacing w:after="160" w:before="400"/>
      </w:pPr>
      <w:r>
        <w:rPr>
          <w:rFonts w:ascii="Arial" w:cs="Arial" w:eastAsia="Arial" w:hAnsi="Arial"/>
          <w:b/>
          <w:bCs/>
          <w:color w:val="0C1A2E"/>
          <w:sz w:val="30"/>
          <w:szCs w:val="30"/>
        </w:rPr>
        <w:t xml:space="preserve">5. Key Architecture and Project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Decision</w:t>
            </w:r>
          </w:p>
        </w:tc>
        <w:tc>
          <w:tcPr>
            <w:tcW w:type="dxa" w:w="348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Choice Made</w:t>
            </w:r>
          </w:p>
        </w:tc>
        <w:tc>
          <w:tcPr>
            <w:tcW w:type="dxa" w:w="348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Inference Provider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Anthropic Claude (cloud); Ollama Mistral (local research)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Cloud API removes GPU dependency for production; local models kept for research experiments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Transcription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OpenAI Whisper-1 (cloud) / faster-whisper (local)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API-based avoids ML dependency in Docker image; local option preserved for GPU environments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Supabase PostgreSQL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Managed, no-ops, free tier sufficient; Row Level Security available for future multi-tenancy</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File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Supabase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Same vendor as DB; S3-compatible; avoids additional vendor; free tier covers project needs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Message Broker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Upstash Redis (serverless)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No always-on cost; pay-per-request; TLS-enabled; compatible with Celery over rediss://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Frontend Framework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Next.js 14 + Supabase SSR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Native auth integration; server components reduce API round trips; Vercel deployment is zero-config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Worker Architecture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Celery with solo pool (Windows) / prefork (Linux)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solo pool required on Windows to avoid prefork issues; prefork used on Railway Linux container</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OCR Strategy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Disabled by default; conditional trigger planned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Task 3 findings show 0% accuracy benefit from always-on OCR; trigger at confidence &lt; 0.60 recommended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Classification Granularity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Video-level (current); claim-level (future)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Video-level sufficient for MVP; Task 5 work establishes pathway to per-claim verdicts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Evidence Grounding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PubMed E-utilities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Free, no key required for low volume; returns peer-reviewed citations credible for WHO context</w:t>
            </w:r>
          </w:p>
        </w:tc>
      </w:tr>
    </w:tbl>
    <w:p>
      <w:pPr>
        <w:spacing w:after="60" w:before="0"/>
      </w:pPr>
      <w:r>
        <w:t xml:space="preserve"/>
      </w:r>
    </w:p>
    <w:p>
      <w:pPr>
        <w:pStyle w:val="Heading1"/>
        <w:pBdr>
          <w:bottom w:val="single" w:color="0EA5E9" w:sz="4" w:space="4"/>
        </w:pBdr>
        <w:spacing w:after="160" w:before="400"/>
      </w:pPr>
      <w:r>
        <w:rPr>
          <w:rFonts w:ascii="Arial" w:cs="Arial" w:eastAsia="Arial" w:hAnsi="Arial"/>
          <w:b/>
          <w:bCs/>
          <w:color w:val="0C1A2E"/>
          <w:sz w:val="30"/>
          <w:szCs w:val="30"/>
        </w:rPr>
        <w:t xml:space="preserve">6.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Deliverable</w:t>
            </w:r>
          </w:p>
        </w:tc>
        <w:tc>
          <w:tcPr>
            <w:tcW w:type="dxa" w:w="1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Owner</w:t>
            </w:r>
          </w:p>
        </w:tc>
        <w:tc>
          <w:tcPr>
            <w:tcW w:type="dxa" w:w="20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Completed</w:t>
            </w:r>
          </w:p>
        </w:tc>
        <w:tc>
          <w:tcPr>
            <w:tcW w:type="dxa" w:w="23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Production system (cloud-deployed)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Pranav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End-to-end pipeline validation (4 videos)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Pranav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Presentation deck (14 slides)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Full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Task 3 — Modality comparison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Aanchal, Soobin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Task 4 — Model disagreement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Anusha, Anjali, Shreya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Task 5 — Claim-level classification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Upasana, Suha, Ananya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End of semester report (17 pages)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Full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Project management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Pranav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HANDOFF.md setup guide for incoming teams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Pranav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Codebase pushed to school 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Pranav 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April 2026</w:t>
            </w:r>
          </w:p>
        </w:tc>
        <w:tc>
          <w:tcPr>
            <w:tcW w:type="dxa" w:w="236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Complete</w:t>
            </w:r>
          </w:p>
        </w:tc>
      </w:tr>
    </w:tbl>
    <w:p>
      <w:pPr>
        <w:spacing w:after="60" w:before="0"/>
      </w:pPr>
      <w:r>
        <w:t xml:space="preserve"/>
      </w:r>
    </w:p>
    <w:p>
      <w:pPr>
        <w:pStyle w:val="Heading1"/>
        <w:pBdr>
          <w:bottom w:val="single" w:color="0EA5E9" w:sz="4" w:space="4"/>
        </w:pBdr>
        <w:spacing w:after="160" w:before="400"/>
      </w:pPr>
      <w:r>
        <w:rPr>
          <w:rFonts w:ascii="Arial" w:cs="Arial" w:eastAsia="Arial" w:hAnsi="Arial"/>
          <w:b/>
          <w:bCs/>
          <w:color w:val="0C1A2E"/>
          <w:sz w:val="30"/>
          <w:szCs w:val="30"/>
        </w:rPr>
        <w:t xml:space="preserve">7.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Category</w:t>
            </w:r>
          </w:p>
        </w:tc>
        <w:tc>
          <w:tcPr>
            <w:tcW w:type="dxa" w:w="22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Tool / Service</w:t>
            </w:r>
          </w:p>
        </w:tc>
        <w:tc>
          <w:tcPr>
            <w:tcW w:type="dxa" w:w="51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Project Planning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CLAUDE.md + Slices A-H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Living architecture document and implementation slice specs served as the project plan and decision log</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GitHub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Source code management; separate personal repo (dev) and school repo (submission)</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Communication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Email / Teams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Team coordination; professor and stakeholder updates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FastAPI + Celery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REST API and async task processing</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Next.js 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Web interface for WHO researchers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Supabase PostgreSQL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Job, video, and result storage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Cloud 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Vercel + Railway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Frontend and backend hosting</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Message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Upstash Redis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Celery broker for async job dispatch</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LLM Inference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Anthropic Claude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Video classification and claim extraction</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Transcription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OpenAI Whisper-1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Audio-to-text conversion</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Evidence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PubMed E-utilities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Peer-reviewed citation retrieval for grounding</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Research Compute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Local GPU (GTX 1650)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Llama 2, Mistral, Gemma inference for research tracks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center"/>
          </w:tcPr>
          <w:p>
            <w:pPr>
              <w:jc w:val="left"/>
            </w:pPr>
            <w:r>
              <w:rPr>
                <w:rFonts w:ascii="Arial" w:cs="Arial" w:eastAsia="Arial" w:hAnsi="Arial"/>
                <w:b/>
                <w:bCs/>
                <w:color w:val="444444"/>
                <w:sz w:val="20"/>
                <w:szCs w:val="20"/>
              </w:rPr>
              <w:t xml:space="preserve">Dev Environment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VS Code + Claude Code CLI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Implementation and code generation</w:t>
            </w:r>
          </w:p>
        </w:tc>
      </w:tr>
    </w:tbl>
    <w:p>
      <w:pPr>
        <w:spacing w:after="60" w:before="0"/>
      </w:pPr>
      <w:r>
        <w:t xml:space="preserve"/>
      </w:r>
    </w:p>
    <w:p>
      <w:pPr>
        <w:pStyle w:val="Heading1"/>
        <w:pBdr>
          <w:bottom w:val="single" w:color="0EA5E9" w:sz="4" w:space="4"/>
        </w:pBdr>
        <w:spacing w:after="160" w:before="400"/>
      </w:pPr>
      <w:r>
        <w:rPr>
          <w:rFonts w:ascii="Arial" w:cs="Arial" w:eastAsia="Arial" w:hAnsi="Arial"/>
          <w:b/>
          <w:bCs/>
          <w:color w:val="0C1A2E"/>
          <w:sz w:val="30"/>
          <w:szCs w:val="30"/>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Risk</w:t>
            </w:r>
          </w:p>
        </w:tc>
        <w:tc>
          <w:tcPr>
            <w:tcW w:type="dxa" w:w="14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Impact</w:t>
            </w:r>
          </w:p>
        </w:tc>
        <w:tc>
          <w:tcPr>
            <w:tcW w:type="dxa" w:w="51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vAlign w:val="center"/>
          </w:tcPr>
          <w:p>
            <w:pPr>
              <w:jc w:val="left"/>
            </w:pPr>
            <w:r>
              <w:rPr>
                <w:rFonts w:ascii="Arial" w:cs="Arial" w:eastAsia="Arial" w:hAnsi="Arial"/>
                <w:b/>
                <w:bCs/>
                <w:color w:val="0C1A2E"/>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Railway free tier — single service limit</w:t>
            </w:r>
          </w:p>
        </w:tc>
        <w:tc>
          <w:tcPr>
            <w:tcW w:type="dxa" w:w="14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vAlign w:val="center"/>
          </w:tcPr>
          <w:p>
            <w:pPr>
              <w:jc w:val="left"/>
            </w:pPr>
            <w:r>
              <w:rPr>
                <w:rFonts w:ascii="Arial" w:cs="Arial" w:eastAsia="Arial" w:hAnsi="Arial"/>
                <w:b/>
                <w:bCs/>
                <w:color w:val="C62828"/>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Worker runs locally pointing at cloud Redis; upgrade to Hobby ($5/mo) planned when budget approved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OpenAI API quota exhausted</w:t>
            </w:r>
          </w:p>
        </w:tc>
        <w:tc>
          <w:tcPr>
            <w:tcW w:type="dxa" w:w="14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vAlign w:val="center"/>
          </w:tcPr>
          <w:p>
            <w:pPr>
              <w:jc w:val="left"/>
            </w:pPr>
            <w:r>
              <w:rPr>
                <w:rFonts w:ascii="Arial" w:cs="Arial" w:eastAsia="Arial" w:hAnsi="Arial"/>
                <w:b/>
                <w:bCs/>
                <w:color w:val="C62828"/>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Switched to Anthropic Claude as primary inference provider; OpenAI retained as fallback via env var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Supabase shared project with existing tables</w:t>
            </w:r>
          </w:p>
        </w:tc>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bCs/>
                <w:color w:val="E65100"/>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Confirmed no table name collisions before running migrations; plan to migrate to dedicated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Whisper hallucination on noisy audio</w:t>
            </w:r>
          </w:p>
        </w:tc>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bCs/>
                <w:color w:val="E65100"/>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VAD pre-segmentation via faster-whisper; CANNOT_RECOGNIZE label catches low-signal videos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PubMed rate limiting on parallel queries</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vAlign w:val="center"/>
          </w:tcPr>
          <w:p>
            <w:pPr>
              <w:jc w:val="left"/>
            </w:pPr>
            <w:r>
              <w:rPr>
                <w:rFonts w:ascii="Arial" w:cs="Arial" w:eastAsia="Arial" w:hAnsi="Arial"/>
                <w:b/>
                <w:bCs/>
                <w:color w:val="2E7D32"/>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asyncio.gather with staggered delays (i * 0.5s); best-effort grounding returns [] on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Personal credentials in codebase</w:t>
            </w:r>
          </w:p>
        </w:tc>
        <w:tc>
          <w:tcPr>
            <w:tcW w:type="dxa" w:w="14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vAlign w:val="center"/>
          </w:tcPr>
          <w:p>
            <w:pPr>
              <w:jc w:val="left"/>
            </w:pPr>
            <w:r>
              <w:rPr>
                <w:rFonts w:ascii="Arial" w:cs="Arial" w:eastAsia="Arial" w:hAnsi="Arial"/>
                <w:b/>
                <w:bCs/>
                <w:color w:val="C62828"/>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secrets in gitignored .env files; .env.example with placeholders committed; HANDOFF.md documents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Small research track datasets</w:t>
            </w:r>
          </w:p>
        </w:tc>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vAlign w:val="center"/>
          </w:tcPr>
          <w:p>
            <w:pPr>
              <w:jc w:val="left"/>
            </w:pPr>
            <w:r>
              <w:rPr>
                <w:rFonts w:ascii="Arial" w:cs="Arial" w:eastAsia="Arial" w:hAnsi="Arial"/>
                <w:b/>
                <w:bCs/>
                <w:color w:val="E65100"/>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Explicitly flagged as limitation in all research reports; larger dataset testing identified as future work</w:t>
            </w:r>
          </w:p>
        </w:tc>
      </w:tr>
    </w:tbl>
    <w:p>
      <w:pPr>
        <w:spacing w:after="60" w:before="0"/>
      </w:pPr>
      <w:r>
        <w:t xml:space="preserve"/>
      </w:r>
    </w:p>
    <w:p>
      <w:pPr>
        <w:pStyle w:val="Heading1"/>
        <w:spacing w:before="400" w:after="160"/>
        <w:rPr>
          <w:b/>
          <w:color w:val="0C1A2E"/>
          <w:sz w:val="30"/>
          <w:szCs w:val="30"/>
          <w:rFonts w:ascii="Arial" w:hAnsi="Arial"/>
        </w:rPr>
      </w:pPr>
      <w:r>
        <w:rPr>
          <w:b/>
          <w:color w:val="0C1A2E"/>
          <w:sz w:val="30"/>
          <w:szCs w:val="30"/>
          <w:rFonts w:ascii="Arial" w:hAnsi="Arial"/>
        </w:rPr>
        <w:t>9. Future Work and Roadmap for Incoming Teams</w:t>
      </w:r>
    </w:p>
    <w:p>
      <w:pPr>
        <w:spacing w:before="60" w:after="80"/>
        <w:rPr>
          <w:color w:val="444444"/>
          <w:sz w:val="20"/>
          <w:szCs w:val="20"/>
          <w:rFonts w:ascii="Arial" w:hAnsi="Arial"/>
        </w:rPr>
      </w:pPr>
      <w:r>
        <w:rPr>
          <w:color w:val="444444"/>
          <w:sz w:val="20"/>
          <w:szCs w:val="20"/>
          <w:rFonts w:ascii="Arial" w:hAnsi="Arial"/>
        </w:rPr>
        <w:t xml:space="preserve">The items below represent concrete next steps for any team that picks up this project. They are ordered within each priority level by impact. Items marked High should be addressed before expanding access to external WHO researchers. Medium items improve the system's accuracy and usability. Low items are valuable but not blocking.</w:t>
      </w:r>
    </w:p>
    <w:p>
      <w:pPr>
        <w:spacing w:before="0" w:after="60"/>
      </w:pPr>
    </w:p>
    <w:tbl>
      <w:tblPr>
        <w:tblW w:w="9360" w:type="dxa"/>
        <w:tblBorders>
          <w:top w:val="single" w:sz="1" w:color="CCCCCC"/>
          <w:left w:val="single" w:sz="1" w:color="CCCCCC"/>
          <w:bottom w:val="single" w:sz="1" w:color="CCCCCC"/>
          <w:right w:val="single" w:sz="1" w:color="CCCCCC"/>
        </w:tblBorders>
      </w:tblPr>
      <w:tblGrid>
        <w:gridCol w:w="2800"/>
        <w:gridCol w:w="1600"/>
        <w:gridCol w:w="1200"/>
        <w:gridCol w:w="3760"/>
      </w:tblGrid>
      <w:tr>
        <w:tc>
          <w:tcPr>
            <w:tcW w:w="2800" w:type="dxa"/>
            <w:shd w:val="clear" w:color="auto" w:fill="E8F4FB"/>
            <w:tcMar>
              <w:top w:type="dxa" w:w="80"/>
              <w:left w:type="dxa" w:w="140"/>
              <w:bottom w:type="dxa" w:w="80"/>
              <w:right w:type="dxa" w:w="140"/>
            </w:tcMar>
          </w:tcPr>
          <w:p>
            <w:pPr>
              <w:rPr>
                <w:b/>
                <w:color w:val="0C1A2E"/>
                <w:sz w:val="20"/>
                <w:szCs w:val="20"/>
                <w:rFonts w:ascii="Arial" w:hAnsi="Arial"/>
              </w:rPr>
            </w:pPr>
            <w:r>
              <w:rPr>
                <w:b/>
                <w:color w:val="0C1A2E"/>
                <w:sz w:val="20"/>
                <w:szCs w:val="20"/>
                <w:rFonts w:ascii="Arial" w:hAnsi="Arial"/>
              </w:rPr>
              <w:t xml:space="preserve">Item</w:t>
            </w:r>
          </w:p>
        </w:tc>
        <w:tc>
          <w:tcPr>
            <w:tcW w:w="1600" w:type="dxa"/>
            <w:shd w:val="clear" w:color="auto" w:fill="E8F4FB"/>
            <w:tcMar>
              <w:top w:type="dxa" w:w="80"/>
              <w:left w:type="dxa" w:w="140"/>
              <w:bottom w:type="dxa" w:w="80"/>
              <w:right w:type="dxa" w:w="140"/>
            </w:tcMar>
          </w:tcPr>
          <w:p>
            <w:pPr>
              <w:rPr>
                <w:b/>
                <w:color w:val="0C1A2E"/>
                <w:sz w:val="20"/>
                <w:szCs w:val="20"/>
                <w:rFonts w:ascii="Arial" w:hAnsi="Arial"/>
              </w:rPr>
            </w:pPr>
            <w:r>
              <w:rPr>
                <w:b/>
                <w:color w:val="0C1A2E"/>
                <w:sz w:val="20"/>
                <w:szCs w:val="20"/>
                <w:rFonts w:ascii="Arial" w:hAnsi="Arial"/>
              </w:rPr>
              <w:t xml:space="preserve">Category</w:t>
            </w:r>
          </w:p>
        </w:tc>
        <w:tc>
          <w:tcPr>
            <w:tcW w:w="1200" w:type="dxa"/>
            <w:shd w:val="clear" w:color="auto" w:fill="E8F4FB"/>
            <w:tcMar>
              <w:top w:type="dxa" w:w="80"/>
              <w:left w:type="dxa" w:w="140"/>
              <w:bottom w:type="dxa" w:w="80"/>
              <w:right w:type="dxa" w:w="140"/>
            </w:tcMar>
          </w:tcPr>
          <w:p>
            <w:pPr>
              <w:rPr>
                <w:b/>
                <w:color w:val="0C1A2E"/>
                <w:sz w:val="20"/>
                <w:szCs w:val="20"/>
                <w:rFonts w:ascii="Arial" w:hAnsi="Arial"/>
              </w:rPr>
            </w:pPr>
            <w:r>
              <w:rPr>
                <w:b/>
                <w:color w:val="0C1A2E"/>
                <w:sz w:val="20"/>
                <w:szCs w:val="20"/>
                <w:rFonts w:ascii="Arial" w:hAnsi="Arial"/>
              </w:rPr>
              <w:t xml:space="preserve">Priority</w:t>
            </w:r>
          </w:p>
        </w:tc>
        <w:tc>
          <w:tcPr>
            <w:tcW w:w="3760" w:type="dxa"/>
            <w:shd w:val="clear" w:color="auto" w:fill="E8F4FB"/>
            <w:tcMar>
              <w:top w:type="dxa" w:w="80"/>
              <w:left w:type="dxa" w:w="140"/>
              <w:bottom w:type="dxa" w:w="80"/>
              <w:right w:type="dxa" w:w="140"/>
            </w:tcMar>
          </w:tcPr>
          <w:p>
            <w:pPr>
              <w:rPr>
                <w:b/>
                <w:color w:val="0C1A2E"/>
                <w:sz w:val="20"/>
                <w:szCs w:val="20"/>
                <w:rFonts w:ascii="Arial" w:hAnsi="Arial"/>
              </w:rPr>
            </w:pPr>
            <w:r>
              <w:rPr>
                <w:b/>
                <w:color w:val="0C1A2E"/>
                <w:sz w:val="20"/>
                <w:szCs w:val="20"/>
                <w:rFonts w:ascii="Arial" w:hAnsi="Arial"/>
              </w:rPr>
              <w:t xml:space="preserve">Where to Start</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Full Cloud Worker Deployment</w:t>
            </w:r>
          </w:p>
        </w:tc>
        <w:tc>
          <w:tcPr>
            <w:tcW w:w="1600" w:type="dxa"/>
            <w:shd w:val="clear" w:color="auto" w:fill="EDE7F6"/>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Infrastructure</w:t>
            </w:r>
          </w:p>
        </w:tc>
        <w:tc>
          <w:tcPr>
            <w:tcW w:w="1200" w:type="dxa"/>
            <w:shd w:val="clear" w:color="auto" w:fill="FFEBEE"/>
            <w:tcMar>
              <w:top w:type="dxa" w:w="80"/>
              <w:left w:type="dxa" w:w="140"/>
              <w:bottom w:type="dxa" w:w="80"/>
              <w:right w:type="dxa" w:w="140"/>
            </w:tcMar>
          </w:tcPr>
          <w:p>
            <w:pPr>
              <w:rPr>
                <w:b/>
                <w:color w:val="C62828"/>
                <w:sz w:val="20"/>
                <w:szCs w:val="20"/>
                <w:rFonts w:ascii="Arial" w:hAnsi="Arial"/>
              </w:rPr>
            </w:pPr>
            <w:r>
              <w:rPr>
                <w:b/>
                <w:color w:val="C62828"/>
                <w:sz w:val="20"/>
                <w:szCs w:val="20"/>
                <w:rFonts w:ascii="Arial" w:hAnsi="Arial"/>
              </w:rPr>
              <w:t xml:space="preserve">High</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railway.toml (worker service already defined), Railway dashboard</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URL Ingestion</w:t>
            </w:r>
          </w:p>
        </w:tc>
        <w:tc>
          <w:tcPr>
            <w:tcW w:w="1600" w:type="dxa"/>
            <w:shd w:val="clear" w:color="auto" w:fill="E3F2FD"/>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Feature</w:t>
            </w:r>
          </w:p>
        </w:tc>
        <w:tc>
          <w:tcPr>
            <w:tcW w:w="1200" w:type="dxa"/>
            <w:shd w:val="clear" w:color="auto" w:fill="FFEBEE"/>
            <w:tcMar>
              <w:top w:type="dxa" w:w="80"/>
              <w:left w:type="dxa" w:w="140"/>
              <w:bottom w:type="dxa" w:w="80"/>
              <w:right w:type="dxa" w:w="140"/>
            </w:tcMar>
          </w:tcPr>
          <w:p>
            <w:pPr>
              <w:rPr>
                <w:b/>
                <w:color w:val="C62828"/>
                <w:sz w:val="20"/>
                <w:szCs w:val="20"/>
                <w:rFonts w:ascii="Arial" w:hAnsi="Arial"/>
              </w:rPr>
            </w:pPr>
            <w:r>
              <w:rPr>
                <w:b/>
                <w:color w:val="C62828"/>
                <w:sz w:val="20"/>
                <w:szCs w:val="20"/>
                <w:rFonts w:ascii="Arial" w:hAnsi="Arial"/>
              </w:rPr>
              <w:t xml:space="preserve">High</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backend/app/api/routers/videos.py, backend/app/services/video_service.py</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Dedicated Supabase Project</w:t>
            </w:r>
          </w:p>
        </w:tc>
        <w:tc>
          <w:tcPr>
            <w:tcW w:w="1600" w:type="dxa"/>
            <w:shd w:val="clear" w:color="auto" w:fill="EDE7F6"/>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Infrastructure</w:t>
            </w:r>
          </w:p>
        </w:tc>
        <w:tc>
          <w:tcPr>
            <w:tcW w:w="1200" w:type="dxa"/>
            <w:shd w:val="clear" w:color="auto" w:fill="FFEBEE"/>
            <w:tcMar>
              <w:top w:type="dxa" w:w="80"/>
              <w:left w:type="dxa" w:w="140"/>
              <w:bottom w:type="dxa" w:w="80"/>
              <w:right w:type="dxa" w:w="140"/>
            </w:tcMar>
          </w:tcPr>
          <w:p>
            <w:pPr>
              <w:rPr>
                <w:b/>
                <w:color w:val="C62828"/>
                <w:sz w:val="20"/>
                <w:szCs w:val="20"/>
                <w:rFonts w:ascii="Arial" w:hAnsi="Arial"/>
              </w:rPr>
            </w:pPr>
            <w:r>
              <w:rPr>
                <w:b/>
                <w:color w:val="C62828"/>
                <w:sz w:val="20"/>
                <w:szCs w:val="20"/>
                <w:rFonts w:ascii="Arial" w:hAnsi="Arial"/>
              </w:rPr>
              <w:t xml:space="preserve">High</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backend/.env, Supabase dashboard</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Per-User Job Isolation</w:t>
            </w:r>
          </w:p>
        </w:tc>
        <w:tc>
          <w:tcPr>
            <w:tcW w:w="1600" w:type="dxa"/>
            <w:shd w:val="clear" w:color="auto" w:fill="E3F2FD"/>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Feature</w:t>
            </w:r>
          </w:p>
        </w:tc>
        <w:tc>
          <w:tcPr>
            <w:tcW w:w="1200" w:type="dxa"/>
            <w:shd w:val="clear" w:color="auto" w:fill="FFEBEE"/>
            <w:tcMar>
              <w:top w:type="dxa" w:w="80"/>
              <w:left w:type="dxa" w:w="140"/>
              <w:bottom w:type="dxa" w:w="80"/>
              <w:right w:type="dxa" w:w="140"/>
            </w:tcMar>
          </w:tcPr>
          <w:p>
            <w:pPr>
              <w:rPr>
                <w:b/>
                <w:color w:val="C62828"/>
                <w:sz w:val="20"/>
                <w:szCs w:val="20"/>
                <w:rFonts w:ascii="Arial" w:hAnsi="Arial"/>
              </w:rPr>
            </w:pPr>
            <w:r>
              <w:rPr>
                <w:b/>
                <w:color w:val="C62828"/>
                <w:sz w:val="20"/>
                <w:szCs w:val="20"/>
                <w:rFonts w:ascii="Arial" w:hAnsi="Arial"/>
              </w:rPr>
              <w:t xml:space="preserve">High</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backend/app/db/models/job.py, backend/app/services/job_service.py (new migration 0005 needed)</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OCR Re-enable with Confidence Trigger</w:t>
            </w:r>
          </w:p>
        </w:tc>
        <w:tc>
          <w:tcPr>
            <w:tcW w:w="1600" w:type="dxa"/>
            <w:shd w:val="clear" w:color="auto" w:fill="E8F5E9"/>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Pipeline</w:t>
            </w:r>
          </w:p>
        </w:tc>
        <w:tc>
          <w:tcPr>
            <w:tcW w:w="1200" w:type="dxa"/>
            <w:shd w:val="clear" w:color="auto" w:fill="FFF8E1"/>
            <w:tcMar>
              <w:top w:type="dxa" w:w="80"/>
              <w:left w:type="dxa" w:w="140"/>
              <w:bottom w:type="dxa" w:w="80"/>
              <w:right w:type="dxa" w:w="140"/>
            </w:tcMar>
          </w:tcPr>
          <w:p>
            <w:pPr>
              <w:rPr>
                <w:b/>
                <w:color w:val="E65100"/>
                <w:sz w:val="20"/>
                <w:szCs w:val="20"/>
                <w:rFonts w:ascii="Arial" w:hAnsi="Arial"/>
              </w:rPr>
            </w:pPr>
            <w:r>
              <w:rPr>
                <w:b/>
                <w:color w:val="E65100"/>
                <w:sz w:val="20"/>
                <w:szCs w:val="20"/>
                <w:rFonts w:ascii="Arial" w:hAnsi="Arial"/>
              </w:rPr>
              <w:t xml:space="preserve">Medium</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backend/app/core/extraction/multimodal.py, backend/app/core/extraction/ocr/text_extractor.py</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Stronger PubMed Evidence Search</w:t>
            </w:r>
          </w:p>
        </w:tc>
        <w:tc>
          <w:tcPr>
            <w:tcW w:w="1600" w:type="dxa"/>
            <w:shd w:val="clear" w:color="auto" w:fill="E8F5E9"/>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Pipeline</w:t>
            </w:r>
          </w:p>
        </w:tc>
        <w:tc>
          <w:tcPr>
            <w:tcW w:w="1200" w:type="dxa"/>
            <w:shd w:val="clear" w:color="auto" w:fill="FFF8E1"/>
            <w:tcMar>
              <w:top w:type="dxa" w:w="80"/>
              <w:left w:type="dxa" w:w="140"/>
              <w:bottom w:type="dxa" w:w="80"/>
              <w:right w:type="dxa" w:w="140"/>
            </w:tcMar>
          </w:tcPr>
          <w:p>
            <w:pPr>
              <w:rPr>
                <w:b/>
                <w:color w:val="E65100"/>
                <w:sz w:val="20"/>
                <w:szCs w:val="20"/>
                <w:rFonts w:ascii="Arial" w:hAnsi="Arial"/>
              </w:rPr>
            </w:pPr>
            <w:r>
              <w:rPr>
                <w:b/>
                <w:color w:val="E65100"/>
                <w:sz w:val="20"/>
                <w:szCs w:val="20"/>
                <w:rFonts w:ascii="Arial" w:hAnsi="Arial"/>
              </w:rPr>
              <w:t xml:space="preserve">Medium</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backend/app/core/grounding/pubmed.py</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Three-way LLM Ensemble Routing</w:t>
            </w:r>
          </w:p>
        </w:tc>
        <w:tc>
          <w:tcPr>
            <w:tcW w:w="1600" w:type="dxa"/>
            <w:shd w:val="clear" w:color="auto" w:fill="E8F5E9"/>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Pipeline</w:t>
            </w:r>
          </w:p>
        </w:tc>
        <w:tc>
          <w:tcPr>
            <w:tcW w:w="1200" w:type="dxa"/>
            <w:shd w:val="clear" w:color="auto" w:fill="FFF8E1"/>
            <w:tcMar>
              <w:top w:type="dxa" w:w="80"/>
              <w:left w:type="dxa" w:w="140"/>
              <w:bottom w:type="dxa" w:w="80"/>
              <w:right w:type="dxa" w:w="140"/>
            </w:tcMar>
          </w:tcPr>
          <w:p>
            <w:pPr>
              <w:rPr>
                <w:b/>
                <w:color w:val="E65100"/>
                <w:sz w:val="20"/>
                <w:szCs w:val="20"/>
                <w:rFonts w:ascii="Arial" w:hAnsi="Arial"/>
              </w:rPr>
            </w:pPr>
            <w:r>
              <w:rPr>
                <w:b/>
                <w:color w:val="E65100"/>
                <w:sz w:val="20"/>
                <w:szCs w:val="20"/>
                <w:rFonts w:ascii="Arial" w:hAnsi="Arial"/>
              </w:rPr>
              <w:t xml:space="preserve">Medium</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backend/app/core/inference/__init__.py, backend/app/worker/tasks.py</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Confidence Calibration and Eval Harness</w:t>
            </w:r>
          </w:p>
        </w:tc>
        <w:tc>
          <w:tcPr>
            <w:tcW w:w="1600" w:type="dxa"/>
            <w:shd w:val="clear" w:color="auto" w:fill="FFF3E0"/>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Research</w:t>
            </w:r>
          </w:p>
        </w:tc>
        <w:tc>
          <w:tcPr>
            <w:tcW w:w="1200" w:type="dxa"/>
            <w:shd w:val="clear" w:color="auto" w:fill="FFF8E1"/>
            <w:tcMar>
              <w:top w:type="dxa" w:w="80"/>
              <w:left w:type="dxa" w:w="140"/>
              <w:bottom w:type="dxa" w:w="80"/>
              <w:right w:type="dxa" w:w="140"/>
            </w:tcMar>
          </w:tcPr>
          <w:p>
            <w:pPr>
              <w:rPr>
                <w:b/>
                <w:color w:val="E65100"/>
                <w:sz w:val="20"/>
                <w:szCs w:val="20"/>
                <w:rFonts w:ascii="Arial" w:hAnsi="Arial"/>
              </w:rPr>
            </w:pPr>
            <w:r>
              <w:rPr>
                <w:b/>
                <w:color w:val="E65100"/>
                <w:sz w:val="20"/>
                <w:szCs w:val="20"/>
                <w:rFonts w:ascii="Arial" w:hAnsi="Arial"/>
              </w:rPr>
              <w:t xml:space="preserve">Medium</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New scripts/eval_pipeline.py (does not exist yet)</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Claim-Level Classification and UI</w:t>
            </w:r>
          </w:p>
        </w:tc>
        <w:tc>
          <w:tcPr>
            <w:tcW w:w="1600" w:type="dxa"/>
            <w:shd w:val="clear" w:color="auto" w:fill="E3F2FD"/>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Feature</w:t>
            </w:r>
          </w:p>
        </w:tc>
        <w:tc>
          <w:tcPr>
            <w:tcW w:w="1200" w:type="dxa"/>
            <w:shd w:val="clear" w:color="auto" w:fill="FFF8E1"/>
            <w:tcMar>
              <w:top w:type="dxa" w:w="80"/>
              <w:left w:type="dxa" w:w="140"/>
              <w:bottom w:type="dxa" w:w="80"/>
              <w:right w:type="dxa" w:w="140"/>
            </w:tcMar>
          </w:tcPr>
          <w:p>
            <w:pPr>
              <w:rPr>
                <w:b/>
                <w:color w:val="E65100"/>
                <w:sz w:val="20"/>
                <w:szCs w:val="20"/>
                <w:rFonts w:ascii="Arial" w:hAnsi="Arial"/>
              </w:rPr>
            </w:pPr>
            <w:r>
              <w:rPr>
                <w:b/>
                <w:color w:val="E65100"/>
                <w:sz w:val="20"/>
                <w:szCs w:val="20"/>
                <w:rFonts w:ascii="Arial" w:hAnsi="Arial"/>
              </w:rPr>
              <w:t xml:space="preserve">Medium</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backend/app/core/pipeline/__init__.py, frontend/app/jobs/[job_id]/JobDetailClient.tsx</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Webhook and Async Notification</w:t>
            </w:r>
          </w:p>
        </w:tc>
        <w:tc>
          <w:tcPr>
            <w:tcW w:w="1600" w:type="dxa"/>
            <w:shd w:val="clear" w:color="auto" w:fill="E3F2FD"/>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Feature</w:t>
            </w:r>
          </w:p>
        </w:tc>
        <w:tc>
          <w:tcPr>
            <w:tcW w:w="1200" w:type="dxa"/>
            <w:shd w:val="clear" w:color="auto" w:fill="E6F4EA"/>
            <w:tcMar>
              <w:top w:type="dxa" w:w="80"/>
              <w:left w:type="dxa" w:w="140"/>
              <w:bottom w:type="dxa" w:w="80"/>
              <w:right w:type="dxa" w:w="140"/>
            </w:tcMar>
          </w:tcPr>
          <w:p>
            <w:pPr>
              <w:rPr>
                <w:b/>
                <w:color w:val="2E7D32"/>
                <w:sz w:val="20"/>
                <w:szCs w:val="20"/>
                <w:rFonts w:ascii="Arial" w:hAnsi="Arial"/>
              </w:rPr>
            </w:pPr>
            <w:r>
              <w:rPr>
                <w:b/>
                <w:color w:val="2E7D32"/>
                <w:sz w:val="20"/>
                <w:szCs w:val="20"/>
                <w:rFonts w:ascii="Arial" w:hAnsi="Arial"/>
              </w:rPr>
              <w:t xml:space="preserve">Low</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backend/app/worker/tasks.py (emit event on completion), frontend (subscribe to Supabase Realtime)</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Rate Limiting and Abuse Prevention</w:t>
            </w:r>
          </w:p>
        </w:tc>
        <w:tc>
          <w:tcPr>
            <w:tcW w:w="1600" w:type="dxa"/>
            <w:shd w:val="clear" w:color="auto" w:fill="EDE7F6"/>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Infrastructure</w:t>
            </w:r>
          </w:p>
        </w:tc>
        <w:tc>
          <w:tcPr>
            <w:tcW w:w="1200" w:type="dxa"/>
            <w:shd w:val="clear" w:color="auto" w:fill="E6F4EA"/>
            <w:tcMar>
              <w:top w:type="dxa" w:w="80"/>
              <w:left w:type="dxa" w:w="140"/>
              <w:bottom w:type="dxa" w:w="80"/>
              <w:right w:type="dxa" w:w="140"/>
            </w:tcMar>
          </w:tcPr>
          <w:p>
            <w:pPr>
              <w:rPr>
                <w:b/>
                <w:color w:val="2E7D32"/>
                <w:sz w:val="20"/>
                <w:szCs w:val="20"/>
                <w:rFonts w:ascii="Arial" w:hAnsi="Arial"/>
              </w:rPr>
            </w:pPr>
            <w:r>
              <w:rPr>
                <w:b/>
                <w:color w:val="2E7D32"/>
                <w:sz w:val="20"/>
                <w:szCs w:val="20"/>
                <w:rFonts w:ascii="Arial" w:hAnsi="Arial"/>
              </w:rPr>
              <w:t xml:space="preserve">Low</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backend/app/api/routers/videos.py, requirements.txt (add slowapi)</w:t>
            </w:r>
          </w:p>
        </w:tc>
      </w:tr>
      <w:tr>
        <w:tc>
          <w:tcPr>
            <w:tcW w:w="2800" w:type="dxa"/>
            <w:shd w:val="clear" w:color="auto" w:fill="FFFFFF"/>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Language Support</w:t>
            </w:r>
          </w:p>
        </w:tc>
        <w:tc>
          <w:tcPr>
            <w:tcW w:w="1600" w:type="dxa"/>
            <w:shd w:val="clear" w:color="auto" w:fill="E3F2FD"/>
            <w:tcMar>
              <w:top w:type="dxa" w:w="80"/>
              <w:left w:type="dxa" w:w="140"/>
              <w:bottom w:type="dxa" w:w="80"/>
              <w:right w:type="dxa" w:w="140"/>
            </w:tcMar>
          </w:tcPr>
          <w:p>
            <w:pPr>
              <w:rPr>
                <w:color w:val="444444"/>
                <w:sz w:val="20"/>
                <w:szCs w:val="20"/>
                <w:rFonts w:ascii="Arial" w:hAnsi="Arial"/>
              </w:rPr>
            </w:pPr>
            <w:r>
              <w:rPr>
                <w:color w:val="444444"/>
                <w:sz w:val="20"/>
                <w:szCs w:val="20"/>
                <w:rFonts w:ascii="Arial" w:hAnsi="Arial"/>
              </w:rPr>
              <w:t xml:space="preserve">Feature</w:t>
            </w:r>
          </w:p>
        </w:tc>
        <w:tc>
          <w:tcPr>
            <w:tcW w:w="1200" w:type="dxa"/>
            <w:shd w:val="clear" w:color="auto" w:fill="E6F4EA"/>
            <w:tcMar>
              <w:top w:type="dxa" w:w="80"/>
              <w:left w:type="dxa" w:w="140"/>
              <w:bottom w:type="dxa" w:w="80"/>
              <w:right w:type="dxa" w:w="140"/>
            </w:tcMar>
          </w:tcPr>
          <w:p>
            <w:pPr>
              <w:rPr>
                <w:b/>
                <w:color w:val="2E7D32"/>
                <w:sz w:val="20"/>
                <w:szCs w:val="20"/>
                <w:rFonts w:ascii="Arial" w:hAnsi="Arial"/>
              </w:rPr>
            </w:pPr>
            <w:r>
              <w:rPr>
                <w:b/>
                <w:color w:val="2E7D32"/>
                <w:sz w:val="20"/>
                <w:szCs w:val="20"/>
                <w:rFonts w:ascii="Arial" w:hAnsi="Arial"/>
              </w:rPr>
              <w:t xml:space="preserve">Low</w:t>
            </w:r>
          </w:p>
        </w:tc>
        <w:tc>
          <w:tcPr>
            <w:tcW w:w="3760" w:type="dxa"/>
            <w:shd w:val="clear" w:color="auto" w:fill="FFFFFF"/>
            <w:tcMar>
              <w:top w:type="dxa" w:w="80"/>
              <w:left w:type="dxa" w:w="140"/>
              <w:bottom w:type="dxa" w:w="80"/>
              <w:right w:type="dxa" w:w="140"/>
            </w:tcMar>
          </w:tcPr>
          <w:p>
            <w:pPr>
              <w:rPr>
                <w:color w:val="555555"/>
                <w:sz w:val="20"/>
                <w:szCs w:val="20"/>
                <w:rFonts w:ascii="Arial" w:hAnsi="Arial"/>
              </w:rPr>
            </w:pPr>
            <w:r>
              <w:rPr>
                <w:color w:val="555555"/>
                <w:sz w:val="20"/>
                <w:szCs w:val="20"/>
                <w:rFonts w:ascii="Arial" w:hAnsi="Arial"/>
              </w:rPr>
              <w:t xml:space="preserve">backend/app/core/extraction/transcription.py, backend/app/core/inference/providers/anthropic_provider.py</w:t>
            </w:r>
          </w:p>
        </w:tc>
      </w:tr>
    </w:tbl>
    <w:p>
      <w:pPr>
        <w:spacing w:before="0" w:after="60"/>
      </w:pPr>
    </w:p>
    <w:p>
      <w:pPr>
        <w:pStyle w:val="Heading2"/>
        <w:spacing w:before="280" w:after="120"/>
        <w:rPr>
          <w:b/>
          <w:color w:val="0C1A2E"/>
          <w:sz w:val="24"/>
          <w:szCs w:val="24"/>
          <w:rFonts w:ascii="Arial" w:hAnsi="Arial"/>
        </w:rPr>
      </w:pPr>
      <w:r>
        <w:rPr>
          <w:b/>
          <w:color w:val="0C1A2E"/>
          <w:sz w:val="24"/>
          <w:szCs w:val="24"/>
          <w:rFonts w:ascii="Arial" w:hAnsi="Arial"/>
        </w:rPr>
        <w:t>9.1 High Priority</w:t>
      </w:r>
    </w:p>
    <w:p>
      <w:pPr>
        <w:spacing w:before="180" w:after="60"/>
        <w:rPr>
          <w:b/>
          <w:color w:val="0C1A2E"/>
          <w:sz w:val="20"/>
          <w:szCs w:val="20"/>
          <w:rFonts w:ascii="Arial" w:hAnsi="Arial"/>
        </w:rPr>
      </w:pPr>
      <w:r>
        <w:rPr>
          <w:b/>
          <w:color w:val="0C1A2E"/>
          <w:sz w:val="20"/>
          <w:szCs w:val="20"/>
          <w:rFonts w:ascii="Arial" w:hAnsi="Arial"/>
        </w:rPr>
        <w:t xml:space="preserve">Full Cloud Worker Deployment</w:t>
      </w:r>
    </w:p>
    <w:p>
      <w:pPr>
        <w:spacing w:before="0" w:after="40"/>
        <w:rPr>
          <w:color w:val="444444"/>
          <w:sz w:val="20"/>
          <w:szCs w:val="20"/>
          <w:rFonts w:ascii="Arial" w:hAnsi="Arial"/>
        </w:rPr>
      </w:pPr>
      <w:r>
        <w:rPr>
          <w:color w:val="444444"/>
          <w:sz w:val="20"/>
          <w:szCs w:val="20"/>
          <w:rFonts w:ascii="Arial" w:hAnsi="Arial"/>
        </w:rPr>
        <w:t xml:space="preserve">Move the Celery analysis worker from local machine to Railway. The worker service config already exists in railway.toml. Requires Railway Hobby plan ($5/month) to run a second service alongside the API. This is the single most important infrastructure change — without it the system stops processing jobs whenever the developer's machine is off.</w:t>
      </w:r>
    </w:p>
    <w:p>
      <w:pPr>
        <w:spacing w:before="0" w:after="120"/>
        <w:rPr>
          <w:i/>
          <w:color w:val="0369A1"/>
          <w:sz w:val="20"/>
          <w:szCs w:val="20"/>
          <w:rFonts w:ascii="Arial" w:hAnsi="Arial"/>
        </w:rPr>
      </w:pPr>
      <w:r>
        <w:rPr>
          <w:i/>
          <w:color w:val="0369A1"/>
          <w:sz w:val="20"/>
          <w:szCs w:val="20"/>
          <w:rFonts w:ascii="Arial" w:hAnsi="Arial"/>
        </w:rPr>
        <w:t xml:space="preserve">Where to start: railway.toml (worker service already defined), Railway dashboard</w:t>
      </w:r>
    </w:p>
    <w:p>
      <w:pPr>
        <w:spacing w:before="180" w:after="60"/>
        <w:rPr>
          <w:b/>
          <w:color w:val="0C1A2E"/>
          <w:sz w:val="20"/>
          <w:szCs w:val="20"/>
          <w:rFonts w:ascii="Arial" w:hAnsi="Arial"/>
        </w:rPr>
      </w:pPr>
      <w:r>
        <w:rPr>
          <w:b/>
          <w:color w:val="0C1A2E"/>
          <w:sz w:val="20"/>
          <w:szCs w:val="20"/>
          <w:rFonts w:ascii="Arial" w:hAnsi="Arial"/>
        </w:rPr>
        <w:t xml:space="preserve">URL Ingestion</w:t>
      </w:r>
    </w:p>
    <w:p>
      <w:pPr>
        <w:spacing w:before="0" w:after="40"/>
        <w:rPr>
          <w:color w:val="444444"/>
          <w:sz w:val="20"/>
          <w:szCs w:val="20"/>
          <w:rFonts w:ascii="Arial" w:hAnsi="Arial"/>
        </w:rPr>
      </w:pPr>
      <w:r>
        <w:rPr>
          <w:color w:val="444444"/>
          <w:sz w:val="20"/>
          <w:szCs w:val="20"/>
          <w:rFonts w:ascii="Arial" w:hAnsi="Arial"/>
        </w:rPr>
        <w:t xml:space="preserve">Accept a TikTok, Instagram Reels, or YouTube Shorts URL directly instead of requiring researchers to download and re-upload a video file. The system would fetch the video server-side using yt-dlp. The upload endpoint and video_service.py would need to handle a URL input as an alternative to a multipart file upload.</w:t>
      </w:r>
    </w:p>
    <w:p>
      <w:pPr>
        <w:spacing w:before="0" w:after="120"/>
        <w:rPr>
          <w:i/>
          <w:color w:val="0369A1"/>
          <w:sz w:val="20"/>
          <w:szCs w:val="20"/>
          <w:rFonts w:ascii="Arial" w:hAnsi="Arial"/>
        </w:rPr>
      </w:pPr>
      <w:r>
        <w:rPr>
          <w:i/>
          <w:color w:val="0369A1"/>
          <w:sz w:val="20"/>
          <w:szCs w:val="20"/>
          <w:rFonts w:ascii="Arial" w:hAnsi="Arial"/>
        </w:rPr>
        <w:t xml:space="preserve">Where to start: backend/app/api/routers/videos.py, backend/app/services/video_service.py</w:t>
      </w:r>
    </w:p>
    <w:p>
      <w:pPr>
        <w:spacing w:before="180" w:after="60"/>
        <w:rPr>
          <w:b/>
          <w:color w:val="0C1A2E"/>
          <w:sz w:val="20"/>
          <w:szCs w:val="20"/>
          <w:rFonts w:ascii="Arial" w:hAnsi="Arial"/>
        </w:rPr>
      </w:pPr>
      <w:r>
        <w:rPr>
          <w:b/>
          <w:color w:val="0C1A2E"/>
          <w:sz w:val="20"/>
          <w:szCs w:val="20"/>
          <w:rFonts w:ascii="Arial" w:hAnsi="Arial"/>
        </w:rPr>
        <w:t xml:space="preserve">Dedicated Supabase Project</w:t>
      </w:r>
    </w:p>
    <w:p>
      <w:pPr>
        <w:spacing w:before="0" w:after="40"/>
        <w:rPr>
          <w:color w:val="444444"/>
          <w:sz w:val="20"/>
          <w:szCs w:val="20"/>
          <w:rFonts w:ascii="Arial" w:hAnsi="Arial"/>
        </w:rPr>
      </w:pPr>
      <w:r>
        <w:rPr>
          <w:color w:val="444444"/>
          <w:sz w:val="20"/>
          <w:szCs w:val="20"/>
          <w:rFonts w:ascii="Arial" w:hAnsi="Arial"/>
        </w:rPr>
        <w:t xml:space="preserve">The current deployment shares a free-tier Supabase project with other personal projects, which has storage limits and no isolation. A dedicated Pro project ($25/month) provides proper separation, more storage capacity, and better performance. Migration requires a pg_dump of the current data, updating the DATABASE_URL and DATABASE_URL_SYNC env vars, and running alembic upgrade head against the new project. No code changes needed.</w:t>
      </w:r>
    </w:p>
    <w:p>
      <w:pPr>
        <w:spacing w:before="0" w:after="120"/>
        <w:rPr>
          <w:i/>
          <w:color w:val="0369A1"/>
          <w:sz w:val="20"/>
          <w:szCs w:val="20"/>
          <w:rFonts w:ascii="Arial" w:hAnsi="Arial"/>
        </w:rPr>
      </w:pPr>
      <w:r>
        <w:rPr>
          <w:i/>
          <w:color w:val="0369A1"/>
          <w:sz w:val="20"/>
          <w:szCs w:val="20"/>
          <w:rFonts w:ascii="Arial" w:hAnsi="Arial"/>
        </w:rPr>
        <w:t xml:space="preserve">Where to start: backend/.env, Supabase dashboard</w:t>
      </w:r>
    </w:p>
    <w:p>
      <w:pPr>
        <w:spacing w:before="180" w:after="60"/>
        <w:rPr>
          <w:b/>
          <w:color w:val="0C1A2E"/>
          <w:sz w:val="20"/>
          <w:szCs w:val="20"/>
          <w:rFonts w:ascii="Arial" w:hAnsi="Arial"/>
        </w:rPr>
      </w:pPr>
      <w:r>
        <w:rPr>
          <w:b/>
          <w:color w:val="0C1A2E"/>
          <w:sz w:val="20"/>
          <w:szCs w:val="20"/>
          <w:rFonts w:ascii="Arial" w:hAnsi="Arial"/>
        </w:rPr>
        <w:t xml:space="preserve">Per-User Job Isolation</w:t>
      </w:r>
    </w:p>
    <w:p>
      <w:pPr>
        <w:spacing w:before="0" w:after="40"/>
        <w:rPr>
          <w:color w:val="444444"/>
          <w:sz w:val="20"/>
          <w:szCs w:val="20"/>
          <w:rFonts w:ascii="Arial" w:hAnsi="Arial"/>
        </w:rPr>
      </w:pPr>
      <w:r>
        <w:rPr>
          <w:color w:val="444444"/>
          <w:sz w:val="20"/>
          <w:szCs w:val="20"/>
          <w:rFonts w:ascii="Arial" w:hAnsi="Arial"/>
        </w:rPr>
        <w:t xml:space="preserve">Currently all authenticated users see all jobs in the job history dashboard. Adding a user_id column (from the JWT sub field) to the Job model and filtering GET /jobs by the current user's sub would give each researcher their own isolated view. This is a small change with significant multi-tenancy impact.</w:t>
      </w:r>
    </w:p>
    <w:p>
      <w:pPr>
        <w:spacing w:before="0" w:after="120"/>
        <w:rPr>
          <w:i/>
          <w:color w:val="0369A1"/>
          <w:sz w:val="20"/>
          <w:szCs w:val="20"/>
          <w:rFonts w:ascii="Arial" w:hAnsi="Arial"/>
        </w:rPr>
      </w:pPr>
      <w:r>
        <w:rPr>
          <w:i/>
          <w:color w:val="0369A1"/>
          <w:sz w:val="20"/>
          <w:szCs w:val="20"/>
          <w:rFonts w:ascii="Arial" w:hAnsi="Arial"/>
        </w:rPr>
        <w:t xml:space="preserve">Where to start: backend/app/db/models/job.py, backend/app/services/job_service.py (new migration 0005 needed)</w:t>
      </w:r>
    </w:p>
    <w:p>
      <w:pPr>
        <w:pStyle w:val="Heading2"/>
        <w:spacing w:before="280" w:after="120"/>
        <w:rPr>
          <w:b/>
          <w:color w:val="0C1A2E"/>
          <w:sz w:val="24"/>
          <w:szCs w:val="24"/>
          <w:rFonts w:ascii="Arial" w:hAnsi="Arial"/>
        </w:rPr>
      </w:pPr>
      <w:r>
        <w:rPr>
          <w:b/>
          <w:color w:val="0C1A2E"/>
          <w:sz w:val="24"/>
          <w:szCs w:val="24"/>
          <w:rFonts w:ascii="Arial" w:hAnsi="Arial"/>
        </w:rPr>
        <w:t>9.2 Medium Priority</w:t>
      </w:r>
    </w:p>
    <w:p>
      <w:pPr>
        <w:spacing w:before="180" w:after="60"/>
        <w:rPr>
          <w:b/>
          <w:color w:val="0C1A2E"/>
          <w:sz w:val="20"/>
          <w:szCs w:val="20"/>
          <w:rFonts w:ascii="Arial" w:hAnsi="Arial"/>
        </w:rPr>
      </w:pPr>
      <w:r>
        <w:rPr>
          <w:b/>
          <w:color w:val="0C1A2E"/>
          <w:sz w:val="20"/>
          <w:szCs w:val="20"/>
          <w:rFonts w:ascii="Arial" w:hAnsi="Arial"/>
        </w:rPr>
        <w:t xml:space="preserve">OCR Re-enable with Confidence Trigger</w:t>
      </w:r>
    </w:p>
    <w:p>
      <w:pPr>
        <w:spacing w:before="0" w:after="40"/>
        <w:rPr>
          <w:color w:val="444444"/>
          <w:sz w:val="20"/>
          <w:szCs w:val="20"/>
          <w:rFonts w:ascii="Arial" w:hAnsi="Arial"/>
        </w:rPr>
      </w:pPr>
      <w:r>
        <w:rPr>
          <w:color w:val="444444"/>
          <w:sz w:val="20"/>
          <w:szCs w:val="20"/>
          <w:rFonts w:ascii="Arial" w:hAnsi="Arial"/>
        </w:rPr>
        <w:t xml:space="preserve">OCR is currently disabled. Task 3 research found 0% accuracy benefit from always-on OCR, so it should be re-enabled with a conditional trigger: run EasyOCR only when audio transcription confidence falls below 0.60. The OCR code in text_extractor.py and multimodal.py is complete — it just needs to be wired back in with the confidence threshold check in the pipeline.</w:t>
      </w:r>
    </w:p>
    <w:p>
      <w:pPr>
        <w:spacing w:before="0" w:after="120"/>
        <w:rPr>
          <w:i/>
          <w:color w:val="0369A1"/>
          <w:sz w:val="20"/>
          <w:szCs w:val="20"/>
          <w:rFonts w:ascii="Arial" w:hAnsi="Arial"/>
        </w:rPr>
      </w:pPr>
      <w:r>
        <w:rPr>
          <w:i/>
          <w:color w:val="0369A1"/>
          <w:sz w:val="20"/>
          <w:szCs w:val="20"/>
          <w:rFonts w:ascii="Arial" w:hAnsi="Arial"/>
        </w:rPr>
        <w:t xml:space="preserve">Where to start: backend/app/core/extraction/multimodal.py, backend/app/core/extraction/ocr/text_extractor.py</w:t>
      </w:r>
    </w:p>
    <w:p>
      <w:pPr>
        <w:spacing w:before="180" w:after="60"/>
        <w:rPr>
          <w:b/>
          <w:color w:val="0C1A2E"/>
          <w:sz w:val="20"/>
          <w:szCs w:val="20"/>
          <w:rFonts w:ascii="Arial" w:hAnsi="Arial"/>
        </w:rPr>
      </w:pPr>
      <w:r>
        <w:rPr>
          <w:b/>
          <w:color w:val="0C1A2E"/>
          <w:sz w:val="20"/>
          <w:szCs w:val="20"/>
          <w:rFonts w:ascii="Arial" w:hAnsi="Arial"/>
        </w:rPr>
        <w:t xml:space="preserve">Stronger PubMed Evidence Search</w:t>
      </w:r>
    </w:p>
    <w:p>
      <w:pPr>
        <w:spacing w:before="0" w:after="40"/>
        <w:rPr>
          <w:color w:val="444444"/>
          <w:sz w:val="20"/>
          <w:szCs w:val="20"/>
          <w:rFonts w:ascii="Arial" w:hAnsi="Arial"/>
        </w:rPr>
      </w:pPr>
      <w:r>
        <w:rPr>
          <w:color w:val="444444"/>
          <w:sz w:val="20"/>
          <w:szCs w:val="20"/>
          <w:rFonts w:ascii="Arial" w:hAnsi="Arial"/>
        </w:rPr>
        <w:t xml:space="preserve">The current grounding step uses simple keyword queries generated by the LLM. Improvements: (a) MeSH term queries for medical precision, (b) hybrid BM25 and dense retrieval instead of keyword-only search, (c) abstract-level NLI verification to confirm the retrieved paper actually supports or refutes the claim rather than just matching keywords. This would bring citation quality closer to the MEGA-RAG benchmark.</w:t>
      </w:r>
    </w:p>
    <w:p>
      <w:pPr>
        <w:spacing w:before="0" w:after="120"/>
        <w:rPr>
          <w:i/>
          <w:color w:val="0369A1"/>
          <w:sz w:val="20"/>
          <w:szCs w:val="20"/>
          <w:rFonts w:ascii="Arial" w:hAnsi="Arial"/>
        </w:rPr>
      </w:pPr>
      <w:r>
        <w:rPr>
          <w:i/>
          <w:color w:val="0369A1"/>
          <w:sz w:val="20"/>
          <w:szCs w:val="20"/>
          <w:rFonts w:ascii="Arial" w:hAnsi="Arial"/>
        </w:rPr>
        <w:t xml:space="preserve">Where to start: backend/app/core/grounding/pubmed.py</w:t>
      </w:r>
    </w:p>
    <w:p>
      <w:pPr>
        <w:spacing w:before="180" w:after="60"/>
        <w:rPr>
          <w:b/>
          <w:color w:val="0C1A2E"/>
          <w:sz w:val="20"/>
          <w:szCs w:val="20"/>
          <w:rFonts w:ascii="Arial" w:hAnsi="Arial"/>
        </w:rPr>
      </w:pPr>
      <w:r>
        <w:rPr>
          <w:b/>
          <w:color w:val="0C1A2E"/>
          <w:sz w:val="20"/>
          <w:szCs w:val="20"/>
          <w:rFonts w:ascii="Arial" w:hAnsi="Arial"/>
        </w:rPr>
        <w:t xml:space="preserve">Three-way LLM Ensemble Routing</w:t>
      </w:r>
    </w:p>
    <w:p>
      <w:pPr>
        <w:spacing w:before="0" w:after="40"/>
        <w:rPr>
          <w:color w:val="444444"/>
          <w:sz w:val="20"/>
          <w:szCs w:val="20"/>
          <w:rFonts w:ascii="Arial" w:hAnsi="Arial"/>
        </w:rPr>
      </w:pPr>
      <w:r>
        <w:rPr>
          <w:color w:val="444444"/>
          <w:sz w:val="20"/>
          <w:szCs w:val="20"/>
          <w:rFonts w:ascii="Arial" w:hAnsi="Arial"/>
        </w:rPr>
        <w:t xml:space="preserve">Task 4 found full agreement between Llama 2 and Mistral on clear cases. The production implication is an ensemble routing layer: run all three models on low-confidence cases, route based on majority vote, and flag cases where models disagree for human review. The provider abstraction in core/inference/ already supports multiple providers simultaneously.</w:t>
      </w:r>
    </w:p>
    <w:p>
      <w:pPr>
        <w:spacing w:before="0" w:after="120"/>
        <w:rPr>
          <w:i/>
          <w:color w:val="0369A1"/>
          <w:sz w:val="20"/>
          <w:szCs w:val="20"/>
          <w:rFonts w:ascii="Arial" w:hAnsi="Arial"/>
        </w:rPr>
      </w:pPr>
      <w:r>
        <w:rPr>
          <w:i/>
          <w:color w:val="0369A1"/>
          <w:sz w:val="20"/>
          <w:szCs w:val="20"/>
          <w:rFonts w:ascii="Arial" w:hAnsi="Arial"/>
        </w:rPr>
        <w:t xml:space="preserve">Where to start: backend/app/core/inference/__init__.py, backend/app/worker/tasks.py</w:t>
      </w:r>
    </w:p>
    <w:p>
      <w:pPr>
        <w:spacing w:before="180" w:after="60"/>
        <w:rPr>
          <w:b/>
          <w:color w:val="0C1A2E"/>
          <w:sz w:val="20"/>
          <w:szCs w:val="20"/>
          <w:rFonts w:ascii="Arial" w:hAnsi="Arial"/>
        </w:rPr>
      </w:pPr>
      <w:r>
        <w:rPr>
          <w:b/>
          <w:color w:val="0C1A2E"/>
          <w:sz w:val="20"/>
          <w:szCs w:val="20"/>
          <w:rFonts w:ascii="Arial" w:hAnsi="Arial"/>
        </w:rPr>
        <w:t xml:space="preserve">Confidence Calibration and Eval Harness</w:t>
      </w:r>
    </w:p>
    <w:p>
      <w:pPr>
        <w:spacing w:before="0" w:after="40"/>
        <w:rPr>
          <w:color w:val="444444"/>
          <w:sz w:val="20"/>
          <w:szCs w:val="20"/>
          <w:rFonts w:ascii="Arial" w:hAnsi="Arial"/>
        </w:rPr>
      </w:pPr>
      <w:r>
        <w:rPr>
          <w:color w:val="444444"/>
          <w:sz w:val="20"/>
          <w:szCs w:val="20"/>
          <w:rFonts w:ascii="Arial" w:hAnsi="Arial"/>
        </w:rPr>
        <w:t xml:space="preserve">Current confidence scores are LLM self-assessments, not calibrated probabilities. Build an evaluation harness: collect a labeled dataset of health videos with ground truth labels, run the full pipeline, and compute precision, recall, and F1 per label. Use this to set better confidence thresholds, detect systematic model blind spots, and measure accuracy improvements as the pipeline evolves.</w:t>
      </w:r>
    </w:p>
    <w:p>
      <w:pPr>
        <w:spacing w:before="0" w:after="120"/>
        <w:rPr>
          <w:i/>
          <w:color w:val="0369A1"/>
          <w:sz w:val="20"/>
          <w:szCs w:val="20"/>
          <w:rFonts w:ascii="Arial" w:hAnsi="Arial"/>
        </w:rPr>
      </w:pPr>
      <w:r>
        <w:rPr>
          <w:i/>
          <w:color w:val="0369A1"/>
          <w:sz w:val="20"/>
          <w:szCs w:val="20"/>
          <w:rFonts w:ascii="Arial" w:hAnsi="Arial"/>
        </w:rPr>
        <w:t xml:space="preserve">Where to start: New scripts/eval_pipeline.py (does not exist yet)</w:t>
      </w:r>
    </w:p>
    <w:p>
      <w:pPr>
        <w:spacing w:before="180" w:after="60"/>
        <w:rPr>
          <w:b/>
          <w:color w:val="0C1A2E"/>
          <w:sz w:val="20"/>
          <w:szCs w:val="20"/>
          <w:rFonts w:ascii="Arial" w:hAnsi="Arial"/>
        </w:rPr>
      </w:pPr>
      <w:r>
        <w:rPr>
          <w:b/>
          <w:color w:val="0C1A2E"/>
          <w:sz w:val="20"/>
          <w:szCs w:val="20"/>
          <w:rFonts w:ascii="Arial" w:hAnsi="Arial"/>
        </w:rPr>
        <w:t xml:space="preserve">Claim-Level Classification and UI</w:t>
      </w:r>
    </w:p>
    <w:p>
      <w:pPr>
        <w:spacing w:before="0" w:after="40"/>
        <w:rPr>
          <w:color w:val="444444"/>
          <w:sz w:val="20"/>
          <w:szCs w:val="20"/>
          <w:rFonts w:ascii="Arial" w:hAnsi="Arial"/>
        </w:rPr>
      </w:pPr>
      <w:r>
        <w:rPr>
          <w:color w:val="444444"/>
          <w:sz w:val="20"/>
          <w:szCs w:val="20"/>
          <w:rFonts w:ascii="Arial" w:hAnsi="Arial"/>
        </w:rPr>
        <w:t xml:space="preserve">Task 5 established that per-claim verdicts are feasible and improve explainability. The next steps are: integrate claim-level outputs with the PubMed grounding step so each extracted claim generates its own citation retrieval query, and surface claim breakdowns in the frontend result page as a collapsible drill-down below the video-level verdict. Each claim would show its own label, confidence, and linked paper.</w:t>
      </w:r>
    </w:p>
    <w:p>
      <w:pPr>
        <w:spacing w:before="0" w:after="120"/>
        <w:rPr>
          <w:i/>
          <w:color w:val="0369A1"/>
          <w:sz w:val="20"/>
          <w:szCs w:val="20"/>
          <w:rFonts w:ascii="Arial" w:hAnsi="Arial"/>
        </w:rPr>
      </w:pPr>
      <w:r>
        <w:rPr>
          <w:i/>
          <w:color w:val="0369A1"/>
          <w:sz w:val="20"/>
          <w:szCs w:val="20"/>
          <w:rFonts w:ascii="Arial" w:hAnsi="Arial"/>
        </w:rPr>
        <w:t xml:space="preserve">Where to start: backend/app/core/pipeline/__init__.py, frontend/app/jobs/[job_id]/JobDetailClient.tsx</w:t>
      </w:r>
    </w:p>
    <w:p>
      <w:pPr>
        <w:pStyle w:val="Heading2"/>
        <w:spacing w:before="280" w:after="120"/>
        <w:rPr>
          <w:b/>
          <w:color w:val="0C1A2E"/>
          <w:sz w:val="24"/>
          <w:szCs w:val="24"/>
          <w:rFonts w:ascii="Arial" w:hAnsi="Arial"/>
        </w:rPr>
      </w:pPr>
      <w:r>
        <w:rPr>
          <w:b/>
          <w:color w:val="0C1A2E"/>
          <w:sz w:val="24"/>
          <w:szCs w:val="24"/>
          <w:rFonts w:ascii="Arial" w:hAnsi="Arial"/>
        </w:rPr>
        <w:t>9.3 Low Priority</w:t>
      </w:r>
    </w:p>
    <w:p>
      <w:pPr>
        <w:spacing w:before="180" w:after="60"/>
        <w:rPr>
          <w:b/>
          <w:color w:val="0C1A2E"/>
          <w:sz w:val="20"/>
          <w:szCs w:val="20"/>
          <w:rFonts w:ascii="Arial" w:hAnsi="Arial"/>
        </w:rPr>
      </w:pPr>
      <w:r>
        <w:rPr>
          <w:b/>
          <w:color w:val="0C1A2E"/>
          <w:sz w:val="20"/>
          <w:szCs w:val="20"/>
          <w:rFonts w:ascii="Arial" w:hAnsi="Arial"/>
        </w:rPr>
        <w:t xml:space="preserve">Webhook and Async Notification</w:t>
      </w:r>
    </w:p>
    <w:p>
      <w:pPr>
        <w:spacing w:before="0" w:after="40"/>
        <w:rPr>
          <w:color w:val="444444"/>
          <w:sz w:val="20"/>
          <w:szCs w:val="20"/>
          <w:rFonts w:ascii="Arial" w:hAnsi="Arial"/>
        </w:rPr>
      </w:pPr>
      <w:r>
        <w:rPr>
          <w:color w:val="444444"/>
          <w:sz w:val="20"/>
          <w:szCs w:val="20"/>
          <w:rFonts w:ascii="Arial" w:hAnsi="Arial"/>
        </w:rPr>
        <w:t xml:space="preserve">Currently users must keep the browser open and poll every 5 seconds for job completion. Adding email or webhook notification when a job completes would make the system usable for longer analysis queues. Supabase Realtime subscriptions could push job status updates to the frontend without polling, eliminating the current polling architecture.</w:t>
      </w:r>
    </w:p>
    <w:p>
      <w:pPr>
        <w:spacing w:before="0" w:after="120"/>
        <w:rPr>
          <w:i/>
          <w:color w:val="0369A1"/>
          <w:sz w:val="20"/>
          <w:szCs w:val="20"/>
          <w:rFonts w:ascii="Arial" w:hAnsi="Arial"/>
        </w:rPr>
      </w:pPr>
      <w:r>
        <w:rPr>
          <w:i/>
          <w:color w:val="0369A1"/>
          <w:sz w:val="20"/>
          <w:szCs w:val="20"/>
          <w:rFonts w:ascii="Arial" w:hAnsi="Arial"/>
        </w:rPr>
        <w:t xml:space="preserve">Where to start: backend/app/worker/tasks.py (emit event on completion), frontend (subscribe to Supabase Realtime)</w:t>
      </w:r>
    </w:p>
    <w:p>
      <w:pPr>
        <w:spacing w:before="180" w:after="60"/>
        <w:rPr>
          <w:b/>
          <w:color w:val="0C1A2E"/>
          <w:sz w:val="20"/>
          <w:szCs w:val="20"/>
          <w:rFonts w:ascii="Arial" w:hAnsi="Arial"/>
        </w:rPr>
      </w:pPr>
      <w:r>
        <w:rPr>
          <w:b/>
          <w:color w:val="0C1A2E"/>
          <w:sz w:val="20"/>
          <w:szCs w:val="20"/>
          <w:rFonts w:ascii="Arial" w:hAnsi="Arial"/>
        </w:rPr>
        <w:t xml:space="preserve">Rate Limiting and Abuse Prevention</w:t>
      </w:r>
    </w:p>
    <w:p>
      <w:pPr>
        <w:spacing w:before="0" w:after="40"/>
        <w:rPr>
          <w:color w:val="444444"/>
          <w:sz w:val="20"/>
          <w:szCs w:val="20"/>
          <w:rFonts w:ascii="Arial" w:hAnsi="Arial"/>
        </w:rPr>
      </w:pPr>
      <w:r>
        <w:rPr>
          <w:color w:val="444444"/>
          <w:sz w:val="20"/>
          <w:szCs w:val="20"/>
          <w:rFonts w:ascii="Arial" w:hAnsi="Arial"/>
        </w:rPr>
        <w:t xml:space="preserve">Before sharing access with external WHO researchers, add rate limiting to the upload endpoint (for example, a maximum of 10 videos per user per hour). This can be implemented using slowapi or a Redis-backed counter. Without it, a single user could exhaust API credits or storage capacity.</w:t>
      </w:r>
    </w:p>
    <w:p>
      <w:pPr>
        <w:spacing w:before="0" w:after="120"/>
        <w:rPr>
          <w:i/>
          <w:color w:val="0369A1"/>
          <w:sz w:val="20"/>
          <w:szCs w:val="20"/>
          <w:rFonts w:ascii="Arial" w:hAnsi="Arial"/>
        </w:rPr>
      </w:pPr>
      <w:r>
        <w:rPr>
          <w:i/>
          <w:color w:val="0369A1"/>
          <w:sz w:val="20"/>
          <w:szCs w:val="20"/>
          <w:rFonts w:ascii="Arial" w:hAnsi="Arial"/>
        </w:rPr>
        <w:t xml:space="preserve">Where to start: backend/app/api/routers/videos.py, requirements.txt (add slowapi)</w:t>
      </w:r>
    </w:p>
    <w:p>
      <w:pPr>
        <w:spacing w:before="180" w:after="60"/>
        <w:rPr>
          <w:b/>
          <w:color w:val="0C1A2E"/>
          <w:sz w:val="20"/>
          <w:szCs w:val="20"/>
          <w:rFonts w:ascii="Arial" w:hAnsi="Arial"/>
        </w:rPr>
      </w:pPr>
      <w:r>
        <w:rPr>
          <w:b/>
          <w:color w:val="0C1A2E"/>
          <w:sz w:val="20"/>
          <w:szCs w:val="20"/>
          <w:rFonts w:ascii="Arial" w:hAnsi="Arial"/>
        </w:rPr>
        <w:t xml:space="preserve">Language Support</w:t>
      </w:r>
    </w:p>
    <w:p>
      <w:pPr>
        <w:spacing w:before="0" w:after="40"/>
        <w:rPr>
          <w:color w:val="444444"/>
          <w:sz w:val="20"/>
          <w:szCs w:val="20"/>
          <w:rFonts w:ascii="Arial" w:hAnsi="Arial"/>
        </w:rPr>
      </w:pPr>
      <w:r>
        <w:rPr>
          <w:color w:val="444444"/>
          <w:sz w:val="20"/>
          <w:szCs w:val="20"/>
          <w:rFonts w:ascii="Arial" w:hAnsi="Arial"/>
        </w:rPr>
        <w:t xml:space="preserve">Whisper supports multilingual transcription out of the box. The LLM classification prompts need to be tested and tuned for Spanish, Portuguese, Hindi, and Arabic content — the top languages for health misinformation in WHO priority regions. Start by testing with Spanish-language TikToks and evaluating whether Claude's classification quality holds without prompt changes.</w:t>
      </w:r>
    </w:p>
    <w:p>
      <w:pPr>
        <w:spacing w:before="0" w:after="120"/>
        <w:rPr>
          <w:i/>
          <w:color w:val="0369A1"/>
          <w:sz w:val="20"/>
          <w:szCs w:val="20"/>
          <w:rFonts w:ascii="Arial" w:hAnsi="Arial"/>
        </w:rPr>
      </w:pPr>
      <w:r>
        <w:rPr>
          <w:i/>
          <w:color w:val="0369A1"/>
          <w:sz w:val="20"/>
          <w:szCs w:val="20"/>
          <w:rFonts w:ascii="Arial" w:hAnsi="Arial"/>
        </w:rPr>
        <w:t xml:space="preserve">Where to start: backend/app/core/extraction/transcription.py, backend/app/core/inference/providers/anthropic_provider.py</w:t>
      </w:r>
    </w:p>
    <w:p>
      <w:pPr>
        <w:spacing w:before="0" w:after="60"/>
      </w:pP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jc w:val="right"/>
    </w:pPr>
    <w:r>
      <w:rPr>
        <w:rFonts w:ascii="Arial" w:cs="Arial" w:eastAsia="Arial" w:hAnsi="Arial"/>
        <w:color w:val="888888"/>
        <w:sz w:val="16"/>
        <w:szCs w:val="16"/>
      </w:rPr>
      <w:t xml:space="preserve">UIUC CHIME Lab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spacing w:after="0"/>
    </w:pPr>
    <w:r>
      <w:rPr>
        <w:rFonts w:ascii="Arial" w:cs="Arial" w:eastAsia="Arial" w:hAnsi="Arial"/>
        <w:color w:val="888888"/>
        <w:sz w:val="16"/>
        <w:szCs w:val="16"/>
      </w:rPr>
      <w:t xml:space="preserve">WHO Infodemic Monitor  |  Project Management Document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1A2E"/>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C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2026-06-04T01:29:39.066Z</dcterms:created>
  <dcterms:modified xsi:type="dcterms:W3CDTF">2026-06-04T01:29:39.080Z</dcterms:modified>
</cp:coreProperties>
</file>

<file path=docProps/custom.xml><?xml version="1.0" encoding="utf-8"?>
<Properties xmlns="http://schemas.openxmlformats.org/officeDocument/2006/custom-properties" xmlns:vt="http://schemas.openxmlformats.org/officeDocument/2006/docPropsVTypes"/>
</file>