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GOVT 312 — Constitutional Politics</w:t>
      </w:r>
    </w:p>
    <w:p>
      <w:r>
        <w:t xml:space="preserve">Spring 2027 · Tuesdays 2:00–4:30 PM · Baldwin Hall 210</w:t>
      </w:r>
    </w:p>
    <w:p>
      <w:r>
        <w:t xml:space="preserve">Professor E. Mbeki · office hours Thursdays 10 AM–12 PM</w:t>
      </w:r>
    </w:p>
    <w:p/>
    <w:p>
      <w:r>
        <w:t xml:space="preserve">ASSESSMENT</w:t>
      </w:r>
    </w:p>
    <w:p/>
    <w:p>
      <w:r>
        <w:t xml:space="preserve">Case Brief 1 — due Tuesday, February 2, 2027</w:t>
      </w:r>
    </w:p>
    <w:p>
      <w:r>
        <w:t xml:space="preserve">Case Brief 2 — due Tuesday, February 23, 2027</w:t>
      </w:r>
    </w:p>
    <w:p>
      <w:r>
        <w:t xml:space="preserve">Midterm Examination — Tuesday, March 9, 2027, in class</w:t>
      </w:r>
    </w:p>
    <w:p>
      <w:r>
        <w:t xml:space="preserve">Research Paper Prospectus — due Friday, March 26, 2027 by 5:00 PM</w:t>
      </w:r>
    </w:p>
    <w:p>
      <w:r>
        <w:t xml:space="preserve">Case Brief 3 — due Tuesday, April 6, 2027</w:t>
      </w:r>
    </w:p>
    <w:p>
      <w:r>
        <w:t xml:space="preserve">Oral Argument — Tuesday, April 20, 2027, Moot Court Room</w:t>
      </w:r>
    </w:p>
    <w:p>
      <w:r>
        <w:t xml:space="preserve">Final Research Paper — due Friday, May 7, 2027 by 11:59 PM</w:t>
      </w:r>
    </w:p>
    <w:p/>
    <w:p>
      <w:r>
        <w:t xml:space="preserve">GRADING</w:t>
      </w:r>
    </w:p>
    <w:p>
      <w:r>
        <w:t xml:space="preserve">Case briefs 30%, midterm 20%, oral argument 15%, research paper 35%.</w:t>
      </w:r>
    </w:p>
    <w:p/>
    <w:p>
      <w:r>
        <w:t xml:space="preserve">ATTENDANCE</w:t>
      </w:r>
    </w:p>
    <w:p>
      <w:r>
        <w:t xml:space="preserve">This is a seminar. More than two absences will affect your participation grade.</w:t>
      </w:r>
    </w:p>
    <w:sectPr/>
  </w:body>
</w:document>
</file>