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u w:val="single"/>
        </w:rPr>
      </w:pPr>
      <w:r>
        <w:rPr>
          <w:rFonts w:ascii="Calibri" w:hAnsi="Calibri"/>
          <w:b w:val="1"/>
          <w:bCs w:val="1"/>
          <w:u w:val="single"/>
          <w:rtl w:val="0"/>
          <w:lang w:val="en-US"/>
        </w:rPr>
        <w:t>2025 PHAS0052 Individual Report Marksheet</w:t>
      </w:r>
    </w:p>
    <w:p>
      <w:pPr>
        <w:pStyle w:val="Body"/>
        <w:jc w:val="center"/>
        <w:rPr>
          <w:rFonts w:ascii="Calibri" w:cs="Calibri" w:hAnsi="Calibri" w:eastAsia="Calibri"/>
          <w:b w:val="1"/>
          <w:bCs w:val="1"/>
          <w:sz w:val="20"/>
          <w:szCs w:val="20"/>
          <w:u w:val="single"/>
        </w:rPr>
      </w:pPr>
    </w:p>
    <w:p>
      <w:pPr>
        <w:pStyle w:val="Body"/>
        <w:jc w:val="center"/>
        <w:rPr>
          <w:rFonts w:ascii="Calibri" w:cs="Calibri" w:hAnsi="Calibri" w:eastAsia="Calibri"/>
          <w:b w:val="1"/>
          <w:bCs w:val="1"/>
          <w:sz w:val="22"/>
          <w:szCs w:val="22"/>
          <w:u w:val="single"/>
        </w:rPr>
      </w:pPr>
      <w:r>
        <w:rPr>
          <w:rFonts w:ascii="Calibri" w:hAnsi="Calibri"/>
          <w:b w:val="1"/>
          <w:bCs w:val="1"/>
          <w:sz w:val="22"/>
          <w:szCs w:val="22"/>
          <w:u w:val="single"/>
          <w:rtl w:val="0"/>
          <w:lang w:val="en-US"/>
        </w:rPr>
        <w:t>Assessment Details</w:t>
      </w:r>
    </w:p>
    <w:p>
      <w:pPr>
        <w:pStyle w:val="Body"/>
        <w:jc w:val="both"/>
        <w:rPr>
          <w:rFonts w:ascii="Calibri" w:cs="Calibri" w:hAnsi="Calibri" w:eastAsia="Calibri"/>
          <w:sz w:val="20"/>
          <w:szCs w:val="20"/>
        </w:rPr>
      </w:pPr>
    </w:p>
    <w:p>
      <w:pPr>
        <w:pStyle w:val="Body"/>
        <w:jc w:val="both"/>
        <w:rPr>
          <w:rFonts w:ascii="Calibri" w:cs="Calibri" w:hAnsi="Calibri" w:eastAsia="Calibri"/>
          <w:sz w:val="20"/>
          <w:szCs w:val="20"/>
        </w:rPr>
      </w:pPr>
      <w:r>
        <w:rPr>
          <w:rFonts w:ascii="Calibri" w:hAnsi="Calibri"/>
          <w:b w:val="1"/>
          <w:bCs w:val="1"/>
          <w:sz w:val="20"/>
          <w:szCs w:val="20"/>
          <w:rtl w:val="0"/>
          <w:lang w:val="en-US"/>
        </w:rPr>
        <w:t>Anonymous Identifier Initials:</w:t>
      </w:r>
      <w:r>
        <w:rPr>
          <w:rFonts w:ascii="Calibri" w:hAnsi="Calibri"/>
          <w:sz w:val="20"/>
          <w:szCs w:val="20"/>
          <w:rtl w:val="0"/>
        </w:rPr>
        <w:t xml:space="preserve"> </w:t>
      </w:r>
    </w:p>
    <w:p>
      <w:pPr>
        <w:pStyle w:val="Body"/>
        <w:jc w:val="both"/>
        <w:rPr>
          <w:rFonts w:ascii="Calibri" w:cs="Calibri" w:hAnsi="Calibri" w:eastAsia="Calibri"/>
          <w:sz w:val="20"/>
          <w:szCs w:val="20"/>
        </w:rPr>
      </w:pPr>
    </w:p>
    <w:p>
      <w:pPr>
        <w:pStyle w:val="Body"/>
        <w:jc w:val="both"/>
        <w:rPr>
          <w:rFonts w:ascii="Calibri" w:cs="Calibri" w:hAnsi="Calibri" w:eastAsia="Calibri"/>
          <w:sz w:val="20"/>
          <w:szCs w:val="20"/>
        </w:rPr>
      </w:pPr>
      <w:r>
        <w:rPr>
          <w:rFonts w:ascii="Calibri" w:hAnsi="Calibri"/>
          <w:b w:val="1"/>
          <w:bCs w:val="1"/>
          <w:sz w:val="20"/>
          <w:szCs w:val="20"/>
          <w:rtl w:val="0"/>
          <w:lang w:val="it-IT"/>
        </w:rPr>
        <w:t>Assessor:</w:t>
      </w:r>
      <w:r>
        <w:rPr>
          <w:rFonts w:ascii="Calibri" w:hAnsi="Calibri"/>
          <w:sz w:val="20"/>
          <w:szCs w:val="20"/>
          <w:rtl w:val="0"/>
        </w:rPr>
        <w:t xml:space="preserve"> </w:t>
      </w:r>
    </w:p>
    <w:p>
      <w:pPr>
        <w:pStyle w:val="Body"/>
        <w:jc w:val="both"/>
        <w:rPr>
          <w:rFonts w:ascii="Calibri" w:cs="Calibri" w:hAnsi="Calibri" w:eastAsia="Calibri"/>
          <w:sz w:val="20"/>
          <w:szCs w:val="20"/>
        </w:rPr>
      </w:pPr>
    </w:p>
    <w:p>
      <w:pPr>
        <w:pStyle w:val="Body"/>
        <w:jc w:val="center"/>
        <w:rPr>
          <w:rFonts w:ascii="Calibri" w:cs="Calibri" w:hAnsi="Calibri" w:eastAsia="Calibri"/>
          <w:b w:val="1"/>
          <w:bCs w:val="1"/>
          <w:sz w:val="22"/>
          <w:szCs w:val="22"/>
          <w:u w:val="single"/>
        </w:rPr>
      </w:pPr>
      <w:r>
        <w:rPr>
          <w:rFonts w:ascii="Calibri" w:hAnsi="Calibri"/>
          <w:b w:val="1"/>
          <w:bCs w:val="1"/>
          <w:sz w:val="22"/>
          <w:szCs w:val="22"/>
          <w:u w:val="single"/>
          <w:rtl w:val="0"/>
          <w:lang w:val="en-US"/>
        </w:rPr>
        <w:t>Individual Report Assessment</w:t>
      </w:r>
    </w:p>
    <w:p>
      <w:pPr>
        <w:pStyle w:val="Body"/>
        <w:jc w:val="both"/>
        <w:rPr>
          <w:rFonts w:ascii="Calibri" w:cs="Calibri" w:hAnsi="Calibri" w:eastAsia="Calibri"/>
          <w:sz w:val="20"/>
          <w:szCs w:val="20"/>
        </w:rPr>
      </w:pPr>
    </w:p>
    <w:p>
      <w:pPr>
        <w:pStyle w:val="Body"/>
        <w:jc w:val="both"/>
        <w:rPr>
          <w:rFonts w:ascii="Calibri" w:cs="Calibri" w:hAnsi="Calibri" w:eastAsia="Calibri"/>
          <w:sz w:val="20"/>
          <w:szCs w:val="20"/>
        </w:rPr>
      </w:pPr>
      <w:r>
        <w:rPr>
          <w:rFonts w:ascii="Calibri" w:hAnsi="Calibri"/>
          <w:sz w:val="20"/>
          <w:szCs w:val="20"/>
          <w:rtl w:val="0"/>
          <w:lang w:val="en-US"/>
        </w:rPr>
        <w:t>For each of the assessment factors below, a mark of 0-20% can be considered poor, 20-40% can be considered unsatisfactory, 40-60% can be considered satisfactory, 60-80% can be considered good, and 80-100% can be considered excellent.</w:t>
      </w:r>
    </w:p>
    <w:p>
      <w:pPr>
        <w:pStyle w:val="Body"/>
        <w:jc w:val="both"/>
        <w:rPr>
          <w:rFonts w:ascii="Calibri" w:cs="Calibri" w:hAnsi="Calibri" w:eastAsia="Calibri"/>
          <w:sz w:val="20"/>
          <w:szCs w:val="20"/>
        </w:rPr>
      </w:pPr>
    </w:p>
    <w:tbl>
      <w:tblPr>
        <w:tblW w:w="107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65"/>
        <w:gridCol w:w="709"/>
      </w:tblGrid>
      <w:tr>
        <w:tblPrEx>
          <w:shd w:val="clear" w:color="auto" w:fill="ced7e7"/>
        </w:tblPrEx>
        <w:trPr>
          <w:trHeight w:val="228" w:hRule="atLeast"/>
        </w:trPr>
        <w:tc>
          <w:tcPr>
            <w:tcW w:type="dxa" w:w="10065"/>
            <w:tcBorders>
              <w:top w:val="single" w:color="bfbfbf" w:sz="4"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tc>
        <w:tc>
          <w:tcPr>
            <w:tcW w:type="dxa" w:w="709"/>
            <w:tcBorders>
              <w:top w:val="single" w:color="bfbfbf" w:sz="4"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Mark</w:t>
            </w:r>
          </w:p>
        </w:tc>
      </w:tr>
      <w:tr>
        <w:tblPrEx>
          <w:shd w:val="clear" w:color="auto" w:fill="ced7e7"/>
        </w:tblPrEx>
        <w:trPr>
          <w:trHeight w:val="23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Summary of Contribution: </w:t>
            </w:r>
            <w:r>
              <w:rPr>
                <w:rFonts w:ascii="Calibri" w:hAnsi="Calibri"/>
                <w:b w:val="0"/>
                <w:bCs w:val="0"/>
                <w:sz w:val="20"/>
                <w:szCs w:val="20"/>
                <w:shd w:val="nil" w:color="auto" w:fill="auto"/>
                <w:rtl w:val="0"/>
                <w:lang w:val="en-US"/>
              </w:rPr>
              <w:t>A clear and succinct description of the individual</w:t>
            </w:r>
            <w:r>
              <w:rPr>
                <w:rFonts w:ascii="Calibri" w:hAnsi="Calibri" w:hint="default"/>
                <w:b w:val="0"/>
                <w:bCs w:val="0"/>
                <w:sz w:val="20"/>
                <w:szCs w:val="20"/>
                <w:shd w:val="nil" w:color="auto" w:fill="auto"/>
                <w:rtl w:val="0"/>
                <w:lang w:val="en-US"/>
              </w:rPr>
              <w:t>’</w:t>
            </w:r>
            <w:r>
              <w:rPr>
                <w:rFonts w:ascii="Calibri" w:hAnsi="Calibri"/>
                <w:b w:val="0"/>
                <w:bCs w:val="0"/>
                <w:sz w:val="20"/>
                <w:szCs w:val="20"/>
                <w:shd w:val="nil" w:color="auto" w:fill="auto"/>
                <w:rtl w:val="0"/>
                <w:lang w:val="en-US"/>
              </w:rPr>
              <w:t>s contributions and main findings.</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/10</w:t>
            </w:r>
          </w:p>
        </w:tc>
      </w:tr>
      <w:tr>
        <w:tblPrEx>
          <w:shd w:val="clear" w:color="auto" w:fill="ced7e7"/>
        </w:tblPrEx>
        <w:trPr>
          <w:trHeight w:val="101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Roles and Context: </w:t>
            </w:r>
            <w:r>
              <w:rPr>
                <w:rFonts w:ascii="Calibri" w:hAnsi="Calibri"/>
                <w:b w:val="0"/>
                <w:bCs w:val="0"/>
                <w:sz w:val="20"/>
                <w:szCs w:val="20"/>
                <w:shd w:val="nil" w:color="auto" w:fill="auto"/>
                <w:rtl w:val="0"/>
                <w:lang w:val="en-US"/>
              </w:rPr>
              <w:t>The individual has outlined the roles that they undertook for the project. This covers both project-specific investigative roles (i.e. those directly related to the physics/pedagogy), and also enabling roles (e.g. communications officer). In both types of case, the individual has described how their roles fit in the wider context of the project and how they contribute to meeting the project objectives.</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/10</w:t>
            </w:r>
          </w:p>
        </w:tc>
      </w:tr>
      <w:tr>
        <w:tblPrEx>
          <w:shd w:val="clear" w:color="auto" w:fill="ced7e7"/>
        </w:tblPrEx>
        <w:trPr>
          <w:trHeight w:val="127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Description of Independent Work: </w:t>
            </w:r>
            <w:r>
              <w:rPr>
                <w:rFonts w:ascii="Calibri" w:hAnsi="Calibri"/>
                <w:b w:val="0"/>
                <w:bCs w:val="0"/>
                <w:sz w:val="20"/>
                <w:szCs w:val="20"/>
                <w:shd w:val="nil" w:color="auto" w:fill="auto"/>
                <w:rtl w:val="0"/>
                <w:lang w:val="en-US"/>
              </w:rPr>
              <w:t>For each project-specific role, the individual has described and justified how they planned, and subsequently carried out, their investigative tasks. Their knowledge, evaluation, idea development and problem solving has been demonstrated and evidenced, critically engaging with literature where appropriate. The findings of the individual</w:t>
            </w:r>
            <w:r>
              <w:rPr>
                <w:rFonts w:ascii="Calibri" w:hAnsi="Calibri" w:hint="default"/>
                <w:b w:val="0"/>
                <w:bCs w:val="0"/>
                <w:sz w:val="20"/>
                <w:szCs w:val="20"/>
                <w:shd w:val="nil" w:color="auto" w:fill="auto"/>
                <w:rtl w:val="0"/>
                <w:lang w:val="en-US"/>
              </w:rPr>
              <w:t>’</w:t>
            </w:r>
            <w:r>
              <w:rPr>
                <w:rFonts w:ascii="Calibri" w:hAnsi="Calibri"/>
                <w:b w:val="0"/>
                <w:bCs w:val="0"/>
                <w:sz w:val="20"/>
                <w:szCs w:val="20"/>
                <w:shd w:val="nil" w:color="auto" w:fill="auto"/>
                <w:rtl w:val="0"/>
                <w:lang w:val="en-US"/>
              </w:rPr>
              <w:t>s contributions have been described with informed analysis of data, appropriately presented and critically evaluated. The individual has described how they iteratively improved the design of their roles if applicable.</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/40</w:t>
            </w:r>
          </w:p>
        </w:tc>
      </w:tr>
      <w:tr>
        <w:tblPrEx>
          <w:shd w:val="clear" w:color="auto" w:fill="ced7e7"/>
        </w:tblPrEx>
        <w:trPr>
          <w:trHeight w:val="75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Reflection: </w:t>
            </w:r>
            <w:r>
              <w:rPr>
                <w:rFonts w:ascii="Calibri" w:hAnsi="Calibri"/>
                <w:b w:val="0"/>
                <w:bCs w:val="0"/>
                <w:sz w:val="20"/>
                <w:szCs w:val="20"/>
                <w:shd w:val="nil" w:color="auto" w:fill="auto"/>
                <w:rtl w:val="0"/>
                <w:lang w:val="en-US"/>
              </w:rPr>
              <w:t>The individual reflects on the outcomes of their own project-specific roles in the context of the project</w:t>
            </w:r>
            <w:r>
              <w:rPr>
                <w:rFonts w:ascii="Calibri" w:hAnsi="Calibri" w:hint="default"/>
                <w:b w:val="0"/>
                <w:bCs w:val="0"/>
                <w:sz w:val="20"/>
                <w:szCs w:val="20"/>
                <w:shd w:val="nil" w:color="auto" w:fill="auto"/>
                <w:rtl w:val="0"/>
                <w:lang w:val="en-US"/>
              </w:rPr>
              <w:t>’</w:t>
            </w:r>
            <w:r>
              <w:rPr>
                <w:rFonts w:ascii="Calibri" w:hAnsi="Calibri"/>
                <w:b w:val="0"/>
                <w:bCs w:val="0"/>
                <w:sz w:val="20"/>
                <w:szCs w:val="20"/>
                <w:shd w:val="nil" w:color="auto" w:fill="auto"/>
                <w:rtl w:val="0"/>
                <w:lang w:val="en-US"/>
              </w:rPr>
              <w:t>s overall objectives. The individual also reflects on their ability to work collaboratively within a team, describing the impact they had on the project</w:t>
            </w:r>
            <w:r>
              <w:rPr>
                <w:rFonts w:ascii="Calibri" w:hAnsi="Calibri" w:hint="default"/>
                <w:b w:val="0"/>
                <w:bCs w:val="0"/>
                <w:sz w:val="20"/>
                <w:szCs w:val="20"/>
                <w:shd w:val="nil" w:color="auto" w:fill="auto"/>
                <w:rtl w:val="0"/>
                <w:lang w:val="en-US"/>
              </w:rPr>
              <w:t>’</w:t>
            </w:r>
            <w:r>
              <w:rPr>
                <w:rFonts w:ascii="Calibri" w:hAnsi="Calibri"/>
                <w:b w:val="0"/>
                <w:bCs w:val="0"/>
                <w:sz w:val="20"/>
                <w:szCs w:val="20"/>
                <w:shd w:val="nil" w:color="auto" w:fill="auto"/>
                <w:rtl w:val="0"/>
                <w:lang w:val="en-US"/>
              </w:rPr>
              <w:t>s success, the professional skills developed and areas identified for improvement.</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/15</w:t>
            </w:r>
          </w:p>
        </w:tc>
      </w:tr>
      <w:tr>
        <w:tblPrEx>
          <w:shd w:val="clear" w:color="auto" w:fill="ced7e7"/>
        </w:tblPrEx>
        <w:trPr>
          <w:trHeight w:val="23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References: </w:t>
            </w:r>
            <w:r>
              <w:rPr>
                <w:rFonts w:ascii="Calibri" w:hAnsi="Calibri"/>
                <w:b w:val="0"/>
                <w:bCs w:val="0"/>
                <w:sz w:val="20"/>
                <w:szCs w:val="20"/>
                <w:shd w:val="nil" w:color="auto" w:fill="auto"/>
                <w:rtl w:val="0"/>
                <w:lang w:val="en-US"/>
              </w:rPr>
              <w:t>Any and all use of external sources or the work of others has been fully and correctly acknowledged</w:t>
            </w:r>
            <w:r>
              <w:rPr>
                <w:rFonts w:ascii="Calibri" w:hAnsi="Calibri"/>
                <w:b w:val="1"/>
                <w:bCs w:val="1"/>
                <w:sz w:val="20"/>
                <w:szCs w:val="20"/>
                <w:shd w:val="nil" w:color="auto" w:fill="auto"/>
                <w:rtl w:val="0"/>
                <w:lang w:val="en-US"/>
              </w:rPr>
              <w:t>.</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/10</w:t>
            </w:r>
          </w:p>
        </w:tc>
      </w:tr>
      <w:tr>
        <w:tblPrEx>
          <w:shd w:val="clear" w:color="auto" w:fill="ced7e7"/>
        </w:tblPrEx>
        <w:trPr>
          <w:trHeight w:val="231" w:hRule="atLeast"/>
        </w:trPr>
        <w:tc>
          <w:tcPr>
            <w:tcW w:type="dxa" w:w="10065"/>
            <w:tcBorders>
              <w:top w:val="single" w:color="bfbfbf" w:sz="6" w:space="0" w:shadow="0" w:frame="0"/>
              <w:left w:val="single" w:color="bfbfbf" w:sz="4"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both"/>
            </w:pPr>
            <w:r>
              <w:rPr>
                <w:rFonts w:ascii="Calibri" w:hAnsi="Calibri"/>
                <w:b w:val="1"/>
                <w:bCs w:val="1"/>
                <w:sz w:val="20"/>
                <w:szCs w:val="20"/>
                <w:shd w:val="nil" w:color="auto" w:fill="auto"/>
                <w:rtl w:val="0"/>
                <w:lang w:val="en-US"/>
              </w:rPr>
              <w:t xml:space="preserve">Professionalism: </w:t>
            </w:r>
            <w:r>
              <w:rPr>
                <w:rFonts w:ascii="Calibri" w:hAnsi="Calibri"/>
                <w:b w:val="0"/>
                <w:bCs w:val="0"/>
                <w:sz w:val="20"/>
                <w:szCs w:val="20"/>
                <w:shd w:val="nil" w:color="auto" w:fill="auto"/>
                <w:rtl w:val="0"/>
                <w:lang w:val="en-US"/>
              </w:rPr>
              <w:t>The report is professionally formatted and written in clear and correct English</w:t>
            </w:r>
            <w:r>
              <w:rPr>
                <w:rFonts w:ascii="Calibri" w:hAnsi="Calibri"/>
                <w:b w:val="1"/>
                <w:bCs w:val="1"/>
                <w:sz w:val="20"/>
                <w:szCs w:val="20"/>
                <w:shd w:val="nil" w:color="auto" w:fill="auto"/>
                <w:rtl w:val="0"/>
                <w:lang w:val="en-US"/>
              </w:rPr>
              <w:t>.</w:t>
            </w:r>
          </w:p>
        </w:tc>
        <w:tc>
          <w:tcPr>
            <w:tcW w:type="dxa" w:w="709"/>
            <w:tcBorders>
              <w:top w:val="single" w:color="bfbfbf" w:sz="6" w:space="0" w:shadow="0" w:frame="0"/>
              <w:left w:val="single" w:color="bfbfbf" w:sz="6" w:space="0" w:shadow="0" w:frame="0"/>
              <w:bottom w:val="single" w:color="bfbfbf" w:sz="6" w:space="0" w:shadow="0" w:frame="0"/>
              <w:right w:val="single" w:color="bfbfbf" w:sz="6"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/15</w:t>
            </w:r>
          </w:p>
        </w:tc>
      </w:tr>
    </w:tbl>
    <w:p>
      <w:pPr>
        <w:pStyle w:val="Body"/>
        <w:widowControl w:val="0"/>
        <w:jc w:val="center"/>
        <w:rPr>
          <w:rFonts w:ascii="Calibri" w:cs="Calibri" w:hAnsi="Calibri" w:eastAsia="Calibri"/>
          <w:sz w:val="20"/>
          <w:szCs w:val="20"/>
        </w:rPr>
      </w:pPr>
    </w:p>
    <w:p>
      <w:pPr>
        <w:pStyle w:val="Body"/>
        <w:ind w:firstLine="720"/>
        <w:jc w:val="both"/>
        <w:rPr>
          <w:rFonts w:ascii="Calibri" w:cs="Calibri" w:hAnsi="Calibri" w:eastAsia="Calibri"/>
          <w:sz w:val="20"/>
          <w:szCs w:val="20"/>
        </w:rPr>
      </w:pPr>
    </w:p>
    <w:p>
      <w:pPr>
        <w:pStyle w:val="Body"/>
        <w:jc w:val="both"/>
        <w:rPr>
          <w:rFonts w:ascii="Calibri" w:cs="Calibri" w:hAnsi="Calibri" w:eastAsia="Calibri"/>
          <w:b w:val="1"/>
          <w:bCs w:val="1"/>
          <w:sz w:val="20"/>
          <w:szCs w:val="20"/>
        </w:rPr>
      </w:pPr>
      <w:r>
        <w:rPr>
          <w:rFonts w:ascii="Calibri" w:hAnsi="Calibri"/>
          <w:b w:val="1"/>
          <w:bCs w:val="1"/>
          <w:sz w:val="20"/>
          <w:szCs w:val="20"/>
          <w:rtl w:val="0"/>
          <w:lang w:val="en-US"/>
        </w:rPr>
        <w:t>Final Mark: /100</w:t>
      </w:r>
    </w:p>
    <w:p>
      <w:pPr>
        <w:pStyle w:val="Body"/>
        <w:jc w:val="both"/>
        <w:rPr>
          <w:rFonts w:ascii="Calibri" w:cs="Calibri" w:hAnsi="Calibri" w:eastAsia="Calibri"/>
          <w:sz w:val="20"/>
          <w:szCs w:val="20"/>
        </w:rPr>
      </w:pPr>
    </w:p>
    <w:p>
      <w:pPr>
        <w:pStyle w:val="Body"/>
        <w:jc w:val="center"/>
        <w:rPr>
          <w:rFonts w:ascii="Calibri" w:cs="Calibri" w:hAnsi="Calibri" w:eastAsia="Calibri"/>
          <w:b w:val="1"/>
          <w:bCs w:val="1"/>
          <w:sz w:val="22"/>
          <w:szCs w:val="22"/>
          <w:u w:val="single"/>
        </w:rPr>
      </w:pPr>
      <w:r>
        <w:rPr>
          <w:rFonts w:ascii="Calibri" w:hAnsi="Calibri"/>
          <w:b w:val="1"/>
          <w:bCs w:val="1"/>
          <w:sz w:val="22"/>
          <w:szCs w:val="22"/>
          <w:u w:val="single"/>
          <w:rtl w:val="0"/>
          <w:lang w:val="en-US"/>
        </w:rPr>
        <w:t>Written Feedback on Individual Project</w:t>
      </w:r>
    </w:p>
    <w:p>
      <w:pPr>
        <w:pStyle w:val="Body"/>
        <w:jc w:val="both"/>
      </w:pPr>
      <w:r>
        <w:rPr>
          <w:rFonts w:ascii="Calibri" w:cs="Calibri" w:hAnsi="Calibri" w:eastAsia="Calibri"/>
          <w:sz w:val="20"/>
          <w:szCs w:val="20"/>
        </w:rPr>
      </w:r>
    </w:p>
    <w:sectPr>
      <w:headerReference w:type="default" r:id="rId4"/>
      <w:footerReference w:type="default" r:id="rId5"/>
      <w:pgSz w:w="12240" w:h="15840" w:orient="portrait"/>
      <w:pgMar w:top="720" w:right="720" w:bottom="720" w:left="72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