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de-DE"/>
        </w:rPr>
        <w:t>2025 PHAS0052 Poster Session Marksheet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Assessment Details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Group Number: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it-IT"/>
        </w:rPr>
        <w:t>Assessor: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it-IT"/>
        </w:rPr>
        <w:t>Poster Session Assessment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For each of the assessment factors below, a mark of 0-20% can be considered poor, 20-40% can be considered unsatisfactory, 40-60% can be considered satisfactory, 60-80% can be considered good, and 80-100% can be considered excellent.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tbl>
      <w:tblPr>
        <w:tblW w:w="1077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65"/>
        <w:gridCol w:w="709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bfbfbf" w:sz="4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Mark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Effective Communication of Research: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Research objectives, motivations, findings are clear to the reader and are presented at a standard expected at third year undergraduate level (based both on poster and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oral presentation to the assessors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).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Presenters demonstrate good understanding of the content and underlying science.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Good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Structure: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Layout is logical and it is easy to navigate through the content.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cademic language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including mathematical terms, as appropriate,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is used to communicate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technical content clearly and correctly.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Use of Suitable Fonts &amp; Illustrations: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Headings and subheadings are large/bold. Symbols and captions are used appropriately. Diagrams, tables etc. are used as visual aids and are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correctly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labelled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and captioned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</w:tr>
    </w:tbl>
    <w:p>
      <w:pPr>
        <w:pStyle w:val="Body"/>
        <w:widowControl w:val="0"/>
        <w:jc w:val="center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pt-PT"/>
        </w:rPr>
        <w:t>Final Mark: /</w: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2</w:t>
      </w:r>
      <w:r>
        <w:rPr>
          <w:rFonts w:ascii="Calibri" w:hAnsi="Calibri"/>
          <w:b w:val="1"/>
          <w:bCs w:val="1"/>
          <w:sz w:val="20"/>
          <w:szCs w:val="20"/>
          <w:rtl w:val="0"/>
        </w:rPr>
        <w:t>0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Written Feedback on Poster Session</w:t>
      </w:r>
    </w:p>
    <w:p>
      <w:pPr>
        <w:pStyle w:val="Body"/>
        <w:jc w:val="both"/>
      </w:pP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