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3922" w14:textId="603BE48C" w:rsidR="004D42A5" w:rsidRDefault="004D42A5" w:rsidP="004D42A5">
      <w:pPr>
        <w:spacing w:after="0" w:line="259" w:lineRule="auto"/>
        <w:ind w:left="0" w:right="2" w:firstLine="0"/>
        <w:jc w:val="center"/>
        <w:rPr>
          <w:b/>
          <w:sz w:val="28"/>
        </w:rPr>
      </w:pPr>
      <w:r w:rsidRPr="004D42A5">
        <w:rPr>
          <w:b/>
          <w:sz w:val="28"/>
        </w:rPr>
        <w:t xml:space="preserve">PORE-LM: A </w:t>
      </w:r>
      <w:r>
        <w:rPr>
          <w:b/>
          <w:sz w:val="28"/>
        </w:rPr>
        <w:t>P</w:t>
      </w:r>
      <w:r w:rsidRPr="004D42A5">
        <w:rPr>
          <w:b/>
          <w:sz w:val="28"/>
        </w:rPr>
        <w:t xml:space="preserve">ersonalized </w:t>
      </w:r>
      <w:r>
        <w:rPr>
          <w:b/>
          <w:sz w:val="28"/>
        </w:rPr>
        <w:t>O</w:t>
      </w:r>
      <w:r w:rsidRPr="004D42A5">
        <w:rPr>
          <w:b/>
          <w:sz w:val="28"/>
        </w:rPr>
        <w:t>utcome-</w:t>
      </w:r>
      <w:r w:rsidR="009914BD">
        <w:rPr>
          <w:b/>
          <w:sz w:val="28"/>
        </w:rPr>
        <w:t>A</w:t>
      </w:r>
      <w:r w:rsidRPr="004D42A5">
        <w:rPr>
          <w:b/>
          <w:sz w:val="28"/>
        </w:rPr>
        <w:t xml:space="preserve">ware </w:t>
      </w:r>
      <w:r>
        <w:rPr>
          <w:b/>
          <w:sz w:val="28"/>
        </w:rPr>
        <w:t>R</w:t>
      </w:r>
      <w:r w:rsidRPr="004D42A5">
        <w:rPr>
          <w:b/>
          <w:sz w:val="28"/>
        </w:rPr>
        <w:t xml:space="preserve">eal-World </w:t>
      </w:r>
      <w:r>
        <w:rPr>
          <w:b/>
          <w:sz w:val="28"/>
        </w:rPr>
        <w:t>E</w:t>
      </w:r>
      <w:r w:rsidRPr="004D42A5">
        <w:rPr>
          <w:b/>
          <w:sz w:val="28"/>
        </w:rPr>
        <w:t xml:space="preserve">vidence Module for </w:t>
      </w:r>
      <w:r>
        <w:rPr>
          <w:b/>
          <w:sz w:val="28"/>
        </w:rPr>
        <w:t>L</w:t>
      </w:r>
      <w:r w:rsidRPr="004D42A5">
        <w:rPr>
          <w:b/>
          <w:sz w:val="28"/>
        </w:rPr>
        <w:t xml:space="preserve">anguage </w:t>
      </w:r>
      <w:r>
        <w:rPr>
          <w:b/>
          <w:sz w:val="28"/>
        </w:rPr>
        <w:t>M</w:t>
      </w:r>
      <w:r w:rsidRPr="004D42A5">
        <w:rPr>
          <w:b/>
          <w:sz w:val="28"/>
        </w:rPr>
        <w:t>odels</w:t>
      </w:r>
    </w:p>
    <w:p w14:paraId="0E634441" w14:textId="5FF6160A" w:rsidR="00226AB3" w:rsidRDefault="004D42A5">
      <w:pPr>
        <w:spacing w:after="0" w:line="259" w:lineRule="auto"/>
        <w:ind w:left="0" w:right="2" w:firstLine="0"/>
        <w:jc w:val="center"/>
      </w:pPr>
      <w:r>
        <w:rPr>
          <w:b/>
          <w:sz w:val="24"/>
        </w:rPr>
        <w:t>Pranav Manjunath</w:t>
      </w:r>
      <w:r>
        <w:rPr>
          <w:b/>
          <w:sz w:val="24"/>
          <w:vertAlign w:val="superscript"/>
        </w:rPr>
        <w:t>1</w:t>
      </w:r>
      <w:r>
        <w:rPr>
          <w:b/>
          <w:sz w:val="24"/>
        </w:rPr>
        <w:t>, Brian Lerner</w:t>
      </w:r>
      <w:r>
        <w:rPr>
          <w:b/>
          <w:sz w:val="24"/>
          <w:vertAlign w:val="superscript"/>
        </w:rPr>
        <w:t>1</w:t>
      </w:r>
      <w:r>
        <w:rPr>
          <w:b/>
          <w:sz w:val="24"/>
        </w:rPr>
        <w:t>,Brad</w:t>
      </w:r>
      <w:r w:rsidR="000B560C">
        <w:rPr>
          <w:b/>
          <w:sz w:val="24"/>
        </w:rPr>
        <w:t xml:space="preserve"> J</w:t>
      </w:r>
      <w:r>
        <w:rPr>
          <w:b/>
          <w:sz w:val="24"/>
        </w:rPr>
        <w:t xml:space="preserve"> Kolls, MD, PhD</w:t>
      </w:r>
      <w:r w:rsidR="00E47A6B">
        <w:rPr>
          <w:b/>
          <w:sz w:val="24"/>
          <w:vertAlign w:val="superscript"/>
        </w:rPr>
        <w:t>1</w:t>
      </w:r>
      <w:r>
        <w:rPr>
          <w:b/>
          <w:sz w:val="24"/>
        </w:rPr>
        <w:t>, Timothy W. Dunn, PhD</w:t>
      </w:r>
      <w:r>
        <w:rPr>
          <w:b/>
          <w:sz w:val="24"/>
          <w:vertAlign w:val="superscript"/>
        </w:rPr>
        <w:t>1</w:t>
      </w:r>
      <w:r>
        <w:rPr>
          <w:b/>
          <w:sz w:val="24"/>
        </w:rPr>
        <w:t xml:space="preserve"> </w:t>
      </w:r>
    </w:p>
    <w:p w14:paraId="1B6A7F34" w14:textId="1253B20E" w:rsidR="00226AB3" w:rsidRDefault="00000000" w:rsidP="009B5B66">
      <w:pPr>
        <w:spacing w:after="0" w:line="274" w:lineRule="auto"/>
        <w:ind w:left="4114" w:hanging="3734"/>
        <w:jc w:val="center"/>
      </w:pPr>
      <w:r>
        <w:rPr>
          <w:b/>
          <w:sz w:val="24"/>
          <w:vertAlign w:val="superscript"/>
        </w:rPr>
        <w:t>1</w:t>
      </w:r>
      <w:r w:rsidR="004D42A5">
        <w:rPr>
          <w:b/>
          <w:sz w:val="24"/>
        </w:rPr>
        <w:t>Duke University</w:t>
      </w:r>
      <w:r>
        <w:rPr>
          <w:b/>
          <w:sz w:val="24"/>
        </w:rPr>
        <w:t xml:space="preserve">, </w:t>
      </w:r>
      <w:r w:rsidR="004D42A5">
        <w:rPr>
          <w:b/>
          <w:sz w:val="24"/>
        </w:rPr>
        <w:t>Durham</w:t>
      </w:r>
      <w:r>
        <w:rPr>
          <w:b/>
          <w:sz w:val="24"/>
        </w:rPr>
        <w:t xml:space="preserve">, </w:t>
      </w:r>
      <w:r w:rsidR="004D42A5">
        <w:rPr>
          <w:b/>
          <w:sz w:val="24"/>
        </w:rPr>
        <w:t>NC</w:t>
      </w:r>
      <w:r>
        <w:rPr>
          <w:b/>
          <w:sz w:val="24"/>
        </w:rPr>
        <w:t xml:space="preserve">, </w:t>
      </w:r>
      <w:r w:rsidR="004D42A5">
        <w:rPr>
          <w:b/>
          <w:sz w:val="24"/>
        </w:rPr>
        <w:t>USA</w:t>
      </w:r>
      <w:r>
        <w:t xml:space="preserve"> </w:t>
      </w:r>
    </w:p>
    <w:p w14:paraId="5F9EA3F3" w14:textId="77777777" w:rsidR="00226AB3" w:rsidRDefault="00000000">
      <w:pPr>
        <w:pStyle w:val="Heading1"/>
        <w:ind w:left="-4"/>
      </w:pPr>
      <w:r>
        <w:t xml:space="preserve">Abstract </w:t>
      </w:r>
    </w:p>
    <w:p w14:paraId="1E22EAF2" w14:textId="61B22DB2" w:rsidR="00226AB3" w:rsidRDefault="00A779DE">
      <w:pPr>
        <w:spacing w:after="0" w:line="259" w:lineRule="auto"/>
        <w:ind w:left="1" w:firstLine="0"/>
        <w:jc w:val="left"/>
        <w:rPr>
          <w:i/>
        </w:rPr>
      </w:pPr>
      <w:r w:rsidRPr="00A779DE">
        <w:rPr>
          <w:i/>
        </w:rPr>
        <w:t xml:space="preserve">Language models perform well on medical benchmarks but often struggle with individualized real-world clinical </w:t>
      </w:r>
      <w:r w:rsidR="00CA6B3D">
        <w:rPr>
          <w:i/>
        </w:rPr>
        <w:t xml:space="preserve">patient </w:t>
      </w:r>
      <w:r w:rsidRPr="00A779DE">
        <w:rPr>
          <w:i/>
        </w:rPr>
        <w:t xml:space="preserve">outcome prediction. </w:t>
      </w:r>
      <w:r w:rsidR="00E47A6B">
        <w:rPr>
          <w:i/>
        </w:rPr>
        <w:t>We</w:t>
      </w:r>
      <w:r w:rsidRPr="00A779DE">
        <w:rPr>
          <w:i/>
        </w:rPr>
        <w:t xml:space="preserve"> introduce PORE-LM, a Personalized Outcome-aware Real-World Evidence module that augments language models by retrieving similar prior patients as contextual evidence. Evaluated on a </w:t>
      </w:r>
      <w:r w:rsidR="009914BD" w:rsidRPr="009914BD">
        <w:rPr>
          <w:i/>
        </w:rPr>
        <w:t>multimodal emergency dataset for a cohort of traumatic brain injury encounters</w:t>
      </w:r>
      <w:r w:rsidR="009914BD">
        <w:rPr>
          <w:i/>
        </w:rPr>
        <w:t>.</w:t>
      </w:r>
      <w:r w:rsidRPr="00A779DE">
        <w:rPr>
          <w:i/>
        </w:rPr>
        <w:t xml:space="preserve"> PORE-LM improves outcome prediction across language models and clinical outcomes, highlighting the importance of </w:t>
      </w:r>
      <w:r w:rsidR="009914BD">
        <w:rPr>
          <w:i/>
        </w:rPr>
        <w:t>outcome-aware</w:t>
      </w:r>
      <w:r w:rsidRPr="00A779DE">
        <w:rPr>
          <w:i/>
        </w:rPr>
        <w:t xml:space="preserve"> patient retrieval.</w:t>
      </w:r>
      <w:r>
        <w:rPr>
          <w:i/>
        </w:rPr>
        <w:t xml:space="preserve"> </w:t>
      </w:r>
    </w:p>
    <w:p w14:paraId="12A2A3D2" w14:textId="7D8A13D5" w:rsidR="00A779DE" w:rsidRDefault="00DE005D">
      <w:pPr>
        <w:spacing w:after="0" w:line="259" w:lineRule="auto"/>
        <w:ind w:left="1" w:firstLine="0"/>
        <w:jc w:val="left"/>
      </w:pPr>
      <w:r>
        <w:rPr>
          <w:noProof/>
        </w:rPr>
        <mc:AlternateContent>
          <mc:Choice Requires="wps">
            <w:drawing>
              <wp:anchor distT="0" distB="0" distL="114300" distR="114300" simplePos="0" relativeHeight="251661312" behindDoc="0" locked="0" layoutInCell="1" allowOverlap="1" wp14:anchorId="3056381A" wp14:editId="3DBCA252">
                <wp:simplePos x="0" y="0"/>
                <wp:positionH relativeFrom="column">
                  <wp:posOffset>2560320</wp:posOffset>
                </wp:positionH>
                <wp:positionV relativeFrom="paragraph">
                  <wp:posOffset>36195</wp:posOffset>
                </wp:positionV>
                <wp:extent cx="3394710" cy="2788920"/>
                <wp:effectExtent l="0" t="0" r="0" b="5080"/>
                <wp:wrapSquare wrapText="bothSides"/>
                <wp:docPr id="833429207" name="Text Box 7"/>
                <wp:cNvGraphicFramePr/>
                <a:graphic xmlns:a="http://schemas.openxmlformats.org/drawingml/2006/main">
                  <a:graphicData uri="http://schemas.microsoft.com/office/word/2010/wordprocessingShape">
                    <wps:wsp>
                      <wps:cNvSpPr txBox="1"/>
                      <wps:spPr>
                        <a:xfrm>
                          <a:off x="0" y="0"/>
                          <a:ext cx="3394710" cy="2788920"/>
                        </a:xfrm>
                        <a:prstGeom prst="rect">
                          <a:avLst/>
                        </a:prstGeom>
                        <a:solidFill>
                          <a:schemeClr val="lt1"/>
                        </a:solidFill>
                        <a:ln w="6350">
                          <a:noFill/>
                        </a:ln>
                      </wps:spPr>
                      <wps:txbx>
                        <w:txbxContent>
                          <w:p w14:paraId="422F2D74" w14:textId="49A8A15C" w:rsidR="00DA6614" w:rsidRDefault="00DA6614" w:rsidP="009914BD">
                            <w:pPr>
                              <w:ind w:left="0" w:firstLine="0"/>
                            </w:pPr>
                            <w:r>
                              <w:rPr>
                                <w:noProof/>
                              </w:rPr>
                              <w:drawing>
                                <wp:inline distT="0" distB="0" distL="0" distR="0" wp14:anchorId="1AAEFBEB" wp14:editId="37F14544">
                                  <wp:extent cx="3223260" cy="1929294"/>
                                  <wp:effectExtent l="0" t="0" r="2540" b="1270"/>
                                  <wp:docPr id="18018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7778" name="Picture 1412567778"/>
                                          <pic:cNvPicPr/>
                                        </pic:nvPicPr>
                                        <pic:blipFill>
                                          <a:blip r:embed="rId6"/>
                                          <a:stretch>
                                            <a:fillRect/>
                                          </a:stretch>
                                        </pic:blipFill>
                                        <pic:spPr>
                                          <a:xfrm>
                                            <a:off x="0" y="0"/>
                                            <a:ext cx="3244600" cy="1942067"/>
                                          </a:xfrm>
                                          <a:prstGeom prst="rect">
                                            <a:avLst/>
                                          </a:prstGeom>
                                        </pic:spPr>
                                      </pic:pic>
                                    </a:graphicData>
                                  </a:graphic>
                                </wp:inline>
                              </w:drawing>
                            </w:r>
                          </w:p>
                          <w:p w14:paraId="509AAE33" w14:textId="703EB7E9" w:rsidR="00DA6614" w:rsidRPr="009914BD" w:rsidRDefault="009914BD">
                            <w:pPr>
                              <w:ind w:left="0"/>
                              <w:rPr>
                                <w:bCs/>
                              </w:rPr>
                            </w:pPr>
                            <w:r w:rsidRPr="009914BD">
                              <w:rPr>
                                <w:b/>
                              </w:rPr>
                              <w:t xml:space="preserve">Figure 1. </w:t>
                            </w:r>
                            <w:r w:rsidRPr="009914BD">
                              <w:rPr>
                                <w:bCs/>
                              </w:rPr>
                              <w:t xml:space="preserve">PORE-LM Workflow: A test patient is converted into a textual summary and encoded as an embedding. An </w:t>
                            </w:r>
                            <w:r>
                              <w:rPr>
                                <w:bCs/>
                              </w:rPr>
                              <w:t>outcome-aware</w:t>
                            </w:r>
                            <w:r w:rsidRPr="009914BD">
                              <w:rPr>
                                <w:bCs/>
                              </w:rPr>
                              <w:t xml:space="preserve"> adapter transforms the embedding to retrieve the </w:t>
                            </w:r>
                            <w:proofErr w:type="gramStart"/>
                            <w:r w:rsidRPr="009914BD">
                              <w:rPr>
                                <w:bCs/>
                              </w:rPr>
                              <w:t>top-K</w:t>
                            </w:r>
                            <w:proofErr w:type="gramEnd"/>
                            <w:r w:rsidRPr="009914BD">
                              <w:rPr>
                                <w:bCs/>
                              </w:rPr>
                              <w:t xml:space="preserve"> similar patients, which are incorporated as textual evidence for the language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6381A" id="_x0000_t202" coordsize="21600,21600" o:spt="202" path="m,l,21600r21600,l21600,xe">
                <v:stroke joinstyle="miter"/>
                <v:path gradientshapeok="t" o:connecttype="rect"/>
              </v:shapetype>
              <v:shape id="Text Box 7" o:spid="_x0000_s1026" type="#_x0000_t202" style="position:absolute;left:0;text-align:left;margin-left:201.6pt;margin-top:2.85pt;width:267.3pt;height:21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" fillcolor="white [3201]" stroked="f" strokeweight=".5pt">
                <v:textbox>
                  <w:txbxContent>
                    <w:p w14:paraId="422F2D74" w14:textId="49A8A15C" w:rsidR="00DA6614" w:rsidRDefault="00DA6614" w:rsidP="009914BD">
                      <w:pPr>
                        <w:ind w:left="0" w:firstLine="0"/>
                      </w:pPr>
                      <w:r>
                        <w:rPr>
                          <w:noProof/>
                        </w:rPr>
                        <w:drawing>
                          <wp:inline distT="0" distB="0" distL="0" distR="0" wp14:anchorId="1AAEFBEB" wp14:editId="37F14544">
                            <wp:extent cx="3223260" cy="1929294"/>
                            <wp:effectExtent l="0" t="0" r="2540" b="1270"/>
                            <wp:docPr id="18018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67778" name="Picture 1412567778"/>
                                    <pic:cNvPicPr/>
                                  </pic:nvPicPr>
                                  <pic:blipFill>
                                    <a:blip r:embed="rId6"/>
                                    <a:stretch>
                                      <a:fillRect/>
                                    </a:stretch>
                                  </pic:blipFill>
                                  <pic:spPr>
                                    <a:xfrm>
                                      <a:off x="0" y="0"/>
                                      <a:ext cx="3244600" cy="1942067"/>
                                    </a:xfrm>
                                    <a:prstGeom prst="rect">
                                      <a:avLst/>
                                    </a:prstGeom>
                                  </pic:spPr>
                                </pic:pic>
                              </a:graphicData>
                            </a:graphic>
                          </wp:inline>
                        </w:drawing>
                      </w:r>
                    </w:p>
                    <w:p w14:paraId="509AAE33" w14:textId="703EB7E9" w:rsidR="00DA6614" w:rsidRPr="009914BD" w:rsidRDefault="009914BD">
                      <w:pPr>
                        <w:ind w:left="0"/>
                        <w:rPr>
                          <w:bCs/>
                        </w:rPr>
                      </w:pPr>
                      <w:r w:rsidRPr="009914BD">
                        <w:rPr>
                          <w:b/>
                        </w:rPr>
                        <w:t xml:space="preserve">Figure 1. </w:t>
                      </w:r>
                      <w:r w:rsidRPr="009914BD">
                        <w:rPr>
                          <w:bCs/>
                        </w:rPr>
                        <w:t xml:space="preserve">PORE-LM Workflow: A test patient is converted into a textual summary and encoded as an embedding. An </w:t>
                      </w:r>
                      <w:r>
                        <w:rPr>
                          <w:bCs/>
                        </w:rPr>
                        <w:t>outcome-aware</w:t>
                      </w:r>
                      <w:r w:rsidRPr="009914BD">
                        <w:rPr>
                          <w:bCs/>
                        </w:rPr>
                        <w:t xml:space="preserve"> adapter transforms the embedding to retrieve the </w:t>
                      </w:r>
                      <w:proofErr w:type="gramStart"/>
                      <w:r w:rsidRPr="009914BD">
                        <w:rPr>
                          <w:bCs/>
                        </w:rPr>
                        <w:t>top-K</w:t>
                      </w:r>
                      <w:proofErr w:type="gramEnd"/>
                      <w:r w:rsidRPr="009914BD">
                        <w:rPr>
                          <w:bCs/>
                        </w:rPr>
                        <w:t xml:space="preserve"> similar patients, which are incorporated as textual evidence for the language model.</w:t>
                      </w:r>
                    </w:p>
                  </w:txbxContent>
                </v:textbox>
                <w10:wrap type="square"/>
              </v:shape>
            </w:pict>
          </mc:Fallback>
        </mc:AlternateContent>
      </w:r>
    </w:p>
    <w:p w14:paraId="6A33503B" w14:textId="5E23D597" w:rsidR="0018438B" w:rsidRDefault="00000000" w:rsidP="00A84AC8">
      <w:pPr>
        <w:pStyle w:val="Heading1"/>
        <w:ind w:left="-4"/>
        <w:jc w:val="both"/>
      </w:pPr>
      <w:r>
        <w:t>Introduction</w:t>
      </w:r>
    </w:p>
    <w:p w14:paraId="7E49A600" w14:textId="307C6FC2" w:rsidR="00226AB3" w:rsidRDefault="004D42A5" w:rsidP="00DE005D">
      <w:pPr>
        <w:pStyle w:val="Heading1"/>
        <w:ind w:left="-4"/>
        <w:jc w:val="both"/>
      </w:pPr>
      <w:r w:rsidRPr="0018438B">
        <w:rPr>
          <w:b w:val="0"/>
          <w:bCs/>
        </w:rPr>
        <w:t>Today,</w:t>
      </w:r>
      <w:r w:rsidR="00F227DC">
        <w:rPr>
          <w:b w:val="0"/>
          <w:bCs/>
        </w:rPr>
        <w:t xml:space="preserve"> </w:t>
      </w:r>
      <w:r w:rsidRPr="0018438B">
        <w:rPr>
          <w:b w:val="0"/>
          <w:bCs/>
        </w:rPr>
        <w:t>language models are seeing widespread adoption for answering medical-related questions</w:t>
      </w:r>
      <w:r w:rsidR="00F227DC" w:rsidRPr="00F227DC">
        <w:rPr>
          <w:b w:val="0"/>
          <w:bCs/>
          <w:vertAlign w:val="superscript"/>
        </w:rPr>
        <w:fldChar w:fldCharType="begin"/>
      </w:r>
      <w:r w:rsidR="00F227DC">
        <w:rPr>
          <w:b w:val="0"/>
          <w:bCs/>
          <w:vertAlign w:val="superscript"/>
        </w:rPr>
        <w:instrText xml:space="preserve"> ADDIN ZOTERO_ITEM CSL_CITATION {"citationID":"deL4wxXN","properties":{"unsorted":false,"formattedCitation":"(1)","plainCitation":"(1)","dontUpdate":true,"noteIndex":0},"citationItems":[{"id":2706,"uris":["http://zotero.org/users/10875578/items/IZQPD323"],"itemData":{"id":2706,"type":"article-journal","container-title":"Science &amp; Technology Libraries","DOI":"10.1080/0194262X.2023.2250835","ISSN":"0194-262X, 1541-1109","issue":"3","journalAbbreviation":"Science &amp; Technology Libraries","language":"en","page":"225-234","source":"DOI.org (Crossref)","title":"Investigating the Use of ChatGpt as a Novel Method for Seeking Health Information: A Qualitative Approach","title-short":"Investigating the Use of ChatGpt as a Novel Method for Seeking Health Information","volume":"43","author":[{"family":"Al Shboul","given":"Mohammad Khaled Issa"},{"family":"Alwreikat","given":"Asma"},{"family":"Alotaibi","given":"Faiz Abdullah"}],"issued":{"date-parts":[["2024",7,2]]}}}],"schema":"https://github.com/citation-style-language/schema/raw/master/csl-citation.json"}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1</w:t>
      </w:r>
      <w:r w:rsidR="00F227DC" w:rsidRPr="00F227DC">
        <w:rPr>
          <w:b w:val="0"/>
          <w:bCs/>
          <w:vertAlign w:val="superscript"/>
        </w:rPr>
        <w:fldChar w:fldCharType="end"/>
      </w:r>
      <w:r w:rsidR="00F227DC">
        <w:rPr>
          <w:b w:val="0"/>
          <w:bCs/>
        </w:rPr>
        <w:t xml:space="preserve"> and have </w:t>
      </w:r>
      <w:r w:rsidR="00003C93" w:rsidRPr="0018438B">
        <w:rPr>
          <w:b w:val="0"/>
          <w:bCs/>
        </w:rPr>
        <w:t>demonstrated strong performance on standardized medical examinations and benchmark datasets, often achieving scores comparable to or exceeding those of clinical professional</w:t>
      </w:r>
      <w:r w:rsidR="00F227DC">
        <w:rPr>
          <w:b w:val="0"/>
          <w:bCs/>
        </w:rPr>
        <w:t>s</w:t>
      </w:r>
      <w:r w:rsidR="00F227DC" w:rsidRPr="00F227DC">
        <w:rPr>
          <w:b w:val="0"/>
          <w:bCs/>
          <w:vertAlign w:val="superscript"/>
        </w:rPr>
        <w:fldChar w:fldCharType="begin"/>
      </w:r>
      <w:r w:rsidR="00F227DC">
        <w:rPr>
          <w:b w:val="0"/>
          <w:bCs/>
          <w:vertAlign w:val="superscript"/>
        </w:rPr>
        <w:instrText xml:space="preserve"> ADDIN ZOTERO_ITEM CSL_CITATION {"citationID":"oyjRRVlo","properties":{"unsorted":false,"formattedCitation":"(2)","plainCitation":"(2)","dontUpdate":true,"noteIndex":0},"citationItems":[{"id":2977,"uris":["http://zotero.org/users/10875578/items/U6MDXFVN"],"itemData":{"id":2977,"type":"article-journal","abstract":"Large language models (LLMs) have shown promise in medical question answering, with Med-PaLM being the first to exceed a ‘passing’ score in United States Medical Licensing Examination style questions. However, challenges remain in long-form medical question answering and handling real-world workflows. Here, we present Med-PaLM 2, which bridges these gaps with a combination of base LLM improvements, medical domain fine-tuning and new strategies for improving reasoning and grounding through ensemble refinement and chain of retrieval. Med-PaLM 2 scores up to 86.5% on the MedQA dataset, improving upon Med-PaLM by over 19%, and demonstrates dramatic performance increases across MedMCQA, PubMedQA and MMLU clinical topics datasets. Our detailed human evaluations framework shows that physicians prefer Med-PaLM 2 answers to those from other physicians on eight of nine clinical axes. Med-PaLM 2 also demonstrates significant improvements over its predecessor across all evaluation metrics, particularly on new adversarial datasets designed to probe LLM limitations (P &lt; 0.001). In a pilot study using real-world medical questions, specialists preferred Med-PaLM 2 answers to generalist physician answers 65% of the time. While specialist answers were still preferred overall, both specialists and generalists rated Med-PaLM 2 to be as safe as physician answers, demonstrating its growing potential in real-world medical applications.","container-title":"Nature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2</w:t>
      </w:r>
      <w:r w:rsidR="00F227DC" w:rsidRPr="00F227DC">
        <w:rPr>
          <w:b w:val="0"/>
          <w:bCs/>
          <w:vertAlign w:val="superscript"/>
        </w:rPr>
        <w:fldChar w:fldCharType="end"/>
      </w:r>
      <w:r w:rsidR="00F227DC">
        <w:rPr>
          <w:b w:val="0"/>
          <w:bCs/>
        </w:rPr>
        <w:t>.</w:t>
      </w:r>
      <w:r w:rsidR="00F227DC">
        <w:rPr>
          <w:b w:val="0"/>
          <w:bCs/>
          <w:vertAlign w:val="superscript"/>
        </w:rPr>
        <w:t xml:space="preserve"> </w:t>
      </w:r>
      <w:r w:rsidR="007E5AD9" w:rsidRPr="0018438B">
        <w:rPr>
          <w:b w:val="0"/>
          <w:bCs/>
        </w:rPr>
        <w:t>However</w:t>
      </w:r>
      <w:r w:rsidR="00003C93" w:rsidRPr="0018438B">
        <w:rPr>
          <w:b w:val="0"/>
          <w:bCs/>
        </w:rPr>
        <w:t>, language models that perform well on general medical knowledge tasks may struggle when faced with individualized clinical contexts and outcome prediction tasks</w:t>
      </w:r>
      <w:r w:rsidR="00F227DC" w:rsidRPr="00F227DC">
        <w:rPr>
          <w:b w:val="0"/>
          <w:bCs/>
          <w:vertAlign w:val="superscript"/>
        </w:rPr>
        <w:fldChar w:fldCharType="begin"/>
      </w:r>
      <w:r w:rsidR="00405222">
        <w:rPr>
          <w:b w:val="0"/>
          <w:bCs/>
          <w:vertAlign w:val="superscript"/>
        </w:rPr>
        <w:instrText xml:space="preserve"> ADDIN ZOTERO_ITEM CSL_CITATION {"citationID":"qnAASU07","properties":{"unsorted":false,"formattedCitation":"(3)","plainCitation":"(3)","dontUpdate":true,"noteIndex":0},"citationItems":[{"id":2709,"uris":["http://zotero.org/users/10875578/items/NW9CCKJA"],"itemData":{"id":2709,"type":"article","abstract":"While large language models (LLMs) achieve near-perfect scores on medical licensing exams, these evaluations inadequately reflect the complexity and diversity of real-world clinical practice. We introduce MedHELM, an extensible evaluation framework for assessing LLM performance for medical tasks with three key contributions. First, a clinician-validated taxonomy spanning 5 categories, 22 subcategories, and 121 tasks developed with 29 clinicians. Second, a comprehensive benchmark suite comprising 35 benchmarks (17 existing, 18 newly formulated) providing complete coverage of all categories and subcategories in the taxonomy. Third, a systematic comparison of LLMs with improved evaluation methods (using an LLM-jury) and a cost-performance analysis. Evaluation of 9 frontier LLMs, using the 35 benchmarks, revealed significant performance variation. Advanced reasoning models (DeepSeek R1: 66% win-rate; o3-mini: 64% win-rate) demonstrated superior performance, though Claude 3.5 Sonnet achieved comparable results at 40% lower estimated computational cost. On a normalized accuracy scale (0-1), most models performed strongly in Clinical Note Generation (0.73-0.85) and Patient Communication &amp;amp; Education (0.78-0.83), moderately in Medical Research Assistance (0.65-0.75), and generally lower in Clinical Decision Support (0.56-0.72) and Administration &amp;amp; Workflow (0.53-0.63). Our LLM-jury evaluation method achieved good agreement with clinician ratings (ICC = 0.47), surpassing both average clinician-clinician agreement (ICC = 0.43) and automated baselines including ROUGE-L (0.36) and BERTScore-F1 (0.44). Claude 3.5 Sonnet achieved comparable performance to top models at lower estimated cost. These findings highlight the importance of real-world, task-specific evaluation for medical use of LLMs and provides an open source framework to enable this.","DOI":"10.48550/ARXIV.2505.23802","license":"Creative Commons Attribution 4.0 International","number":"2505.23802","publisher":"arXiv","source":"DOI.org (Datacite)","title":"MedHELM: Holistic Evaluation of Large Language Models for Medical Tasks","title-short":"MedHELM","URL":"https://arxiv.org/abs/2505.23802","author":[{"family":"Bedi","given":"Suhana"},{"family":"Cui","given":"Hejie"},{"family":"Fuentes","given":"Miguel"},{"family":"Unell","given":"Alyssa"},{"family":"Wornow","given":"Michael"},{"family":"Banda","given":"Juan M."},{"family":"Kotecha","given":"Nikesh"},{"family":"Keyes","given":"Timothy"},{"family":"Mai","given":"Yifan"},{"family":"Oez","given":"Mert"},{"family":"Qiu","given":"Hao"},{"family":"Jain","given":"Shrey"},{"family":"Schettini","given":"Leonardo"},{"family":"Kashyap","given":"Mehr"},{"family":"Fries","given":"Jason Alan"},{"family":"Swaminathan","given":"Akshay"},{"family":"Chung","given":"Philip"},{"family":"Nateghi","given":"Fateme"},{"family":"Aali","given":"Asad"},{"family":"Nayak","given":"Ashwin"},{"family":"Vedak","given":"Shivam"},{"family":"Jain","given":"Sneha S."},{"family":"Patel","given":"Birju"},{"family":"Fayanju","given":"Oluseyi"},{"family":"Shah","given":"Shreya"},{"family":"Goh","given":"Ethan"},{"family":"Yao","given":"Dong-han"},{"family":"Soetikno","given":"Brian"},{"family":"Reis","given":"Eduardo"},{"family":"Gatidis","given":"Sergios"},{"family":"Divi","given":"Vasu"},{"family":"Capasso","given":"Robson"},{"family":"Saralkar","given":"Rachna"},{"family":"Chiang","given":"Chia-Chun"},{"family":"Jindal","given":"Jenelle"},{"family":"Pham","given":"Tho"},{"family":"Ghoddusi","given":"Faraz"},{"family":"Lin","given":"Steven"},{"family":"Chiou","given":"Albert S."},{"family":"Hong","given":"Christy"},{"family":"Roy","given":"Mohana"},{"family":"Gensheimer","given":"Michael F."},{"family":"Patel","given":"Hinesh"},{"family":"Schulman","given":"Kevin"},{"family":"Dash","given":"Dev"},{"family":"Char","given":"Danton"},{"family":"Downing","given":"Lance"},{"family":"Grolleau","given":"Francois"},{"family":"Black","given":"Kameron"},{"family":"Mieso","given":"Bethel"},{"family":"Zahedivash","given":"Aydin"},{"family":"Yim","given":"Wen-wai"},{"family":"Sharma","given":"Harshita"},{"family":"Lee","given":"Tony"},{"family":"Kirsch","given":"Hannah"},{"family":"Lee","given":"Jennifer"},{"family":"Ambers","given":"Nerissa"},{"family":"Lugtu","given":"Carlene"},{"family":"Sharma","given":"Aditya"},{"family":"Mawji","given":"Bilal"},{"family":"Alekseyev","given":"Alex"},{"family":"Zhou","given":"Vicky"},{"family":"Kakkar","given":"Vikas"},{"family":"Helzer","given":"Jarrod"},{"family":"Revri","given":"Anurang"},{"family":"Bannett","given":"Yair"},{"family":"Daneshjou","given":"Roxana"},{"family":"Chen","given":"Jonathan"},{"family":"Alsentzer","given":"Emily"},{"family":"Morse","given":"Keith"},{"family":"Ravi","given":"Nirmal"},{"family":"Aghaeepour","given":"Nima"},{"family":"Kennedy","given":"Vanessa"},{"family":"Chaudhari","given":"Akshay"},{"family":"Wang","given":"Thomas"},{"family":"Koyejo","given":"Sanmi"},{"family":"Lungren","given":"Matthew P."},{"family":"Horvitz","given":"Eric"},{"family":"Liang","given":"Percy"},{"family":"Pfeffer","given":"Mike"},{"family":"Shah","given":"Nigam H."}],"accessed":{"date-parts":[["2026",1,14]]},"issued":{"date-parts":[["2025"]]}}}],"schema":"https://github.com/citation-style-language/schema/raw/master/csl-citation.json"} </w:instrText>
      </w:r>
      <w:r w:rsidR="00F227DC" w:rsidRPr="00F227DC">
        <w:rPr>
          <w:b w:val="0"/>
          <w:bCs/>
          <w:vertAlign w:val="superscript"/>
        </w:rPr>
        <w:fldChar w:fldCharType="separate"/>
      </w:r>
      <w:r w:rsidR="00F227DC" w:rsidRPr="00F227DC">
        <w:rPr>
          <w:b w:val="0"/>
          <w:bCs/>
          <w:noProof/>
          <w:vertAlign w:val="superscript"/>
        </w:rPr>
        <w:t>3</w:t>
      </w:r>
      <w:r w:rsidR="00F227DC" w:rsidRPr="00F227DC">
        <w:rPr>
          <w:b w:val="0"/>
          <w:bCs/>
          <w:vertAlign w:val="superscript"/>
        </w:rPr>
        <w:fldChar w:fldCharType="end"/>
      </w:r>
      <w:r w:rsidR="007E5AD9" w:rsidRPr="0018438B">
        <w:rPr>
          <w:b w:val="0"/>
          <w:bCs/>
        </w:rPr>
        <w:t>, as clinical reasoning often requires interpreting heterogeneous patient-specific data</w:t>
      </w:r>
      <w:r w:rsidR="00003C93" w:rsidRPr="0018438B">
        <w:rPr>
          <w:b w:val="0"/>
          <w:bCs/>
        </w:rPr>
        <w:t xml:space="preserve">. </w:t>
      </w:r>
      <w:r w:rsidRPr="0018438B">
        <w:rPr>
          <w:b w:val="0"/>
          <w:bCs/>
        </w:rPr>
        <w:t>Recent work</w:t>
      </w:r>
      <w:r w:rsidR="007B1F85" w:rsidRPr="007B1F85">
        <w:rPr>
          <w:b w:val="0"/>
          <w:bCs/>
          <w:vertAlign w:val="superscript"/>
        </w:rPr>
        <w:fldChar w:fldCharType="begin"/>
      </w:r>
      <w:r w:rsidR="007B1F85" w:rsidRPr="007B1F85">
        <w:rPr>
          <w:b w:val="0"/>
          <w:bCs/>
          <w:vertAlign w:val="superscript"/>
        </w:rPr>
        <w:instrText xml:space="preserve"> ADDIN ZOTERO_ITEM CSL_CITATION {"citationID":"bpOArc9v","properties":{"unsorted":false,"formattedCitation":"(4)","plainCitation":"(4)","noteIndex":0},"citationItems":[{"id":2700,"uris":["http://zotero.org/users/10875578/items/RJHVUYYA"],"itemData":{"id":2700,"type":"article-journal","abstract":"Early and accurate triage of traumatic brain injury is critical for guiding treatment decisions that optimize patient outcomes. A major early clinical decision point occurs in the emergency department, where providers must decide whether to admit or discharge patients with head injuries, yet these decisions are often inconsistent and rarely supported by case-based frameworks. Here, we introduce RAPID-TBI (Retrieval Augmented Prediction for Informed Disposition in Traumatic Brain Injury), a multimodal system that predicts emergency department disposition using example-based retrieval to emulate clinical case-based reasoning. RAPID-TBI achieves state-of-the-art classification performance while enhancing interpretability by retrieving similar patients to inform predictions. Using a large multimodal TBI dataset from a major U.S. hospital system, RAPID-TBI integrates head CT scans, radiology reports, exam findings, laboratory values, vitals, and demographics through an attention-based encoder that generates patient embeddings for disposition classification. We further assessed RAPID-TBI across institutional and temporal generalizability, showing consistent performance and resilience to shifts in data distribution. Finally, we explored small language models as prompt-based classifiers for retrieval-guided prediction without fine-tuning. Together, these components enable RAPID-TBI to deliver consistent, individualized, and clinically grounded predictions, a promising step toward trustworthy, personalized decision support in TBI care.","container-title":"IEEE Journal of Biomedical and Health Informatics","DOI":"10.1109/JBHI.2025.3622508","ISSN":"2168-2208","issue":"12","page":"8775-8782","source":"IEEE Xplore","title":"Trust Your Neighbors: Multimodal Patient Retrieval for TBI Prognosis","title-short":"Trust Your Neighbors","volume":"29","author":[{"family":"Manjunath","given":"Pranav"},{"family":"Lerner","given":"Brian"},{"family":"Dunn","given":"Timothy W."}],"issued":{"date-parts":[["2025",12]]}}}],"schema":"https://github.com/citation-style-language/schema/raw/master/csl-citation.json"} </w:instrText>
      </w:r>
      <w:r w:rsidR="007B1F85" w:rsidRPr="007B1F85">
        <w:rPr>
          <w:b w:val="0"/>
          <w:bCs/>
          <w:vertAlign w:val="superscript"/>
        </w:rPr>
        <w:fldChar w:fldCharType="separate"/>
      </w:r>
      <w:r w:rsidR="007B1F85" w:rsidRPr="007B1F85">
        <w:rPr>
          <w:b w:val="0"/>
          <w:bCs/>
          <w:noProof/>
          <w:vertAlign w:val="superscript"/>
        </w:rPr>
        <w:t>4</w:t>
      </w:r>
      <w:r w:rsidR="007B1F85" w:rsidRPr="007B1F85">
        <w:rPr>
          <w:b w:val="0"/>
          <w:bCs/>
          <w:vertAlign w:val="superscript"/>
        </w:rPr>
        <w:fldChar w:fldCharType="end"/>
      </w:r>
      <w:r w:rsidR="00F227DC">
        <w:rPr>
          <w:b w:val="0"/>
          <w:bCs/>
        </w:rPr>
        <w:t xml:space="preserve"> </w:t>
      </w:r>
      <w:r w:rsidRPr="0018438B">
        <w:rPr>
          <w:b w:val="0"/>
          <w:bCs/>
        </w:rPr>
        <w:t xml:space="preserve">has demonstrated that augmenting language models </w:t>
      </w:r>
      <w:r w:rsidRPr="00DE005D">
        <w:rPr>
          <w:b w:val="0"/>
          <w:bCs/>
        </w:rPr>
        <w:t>with real-world evidence (RWE), context derived from</w:t>
      </w:r>
      <w:r w:rsidR="00DE005D">
        <w:rPr>
          <w:b w:val="0"/>
          <w:bCs/>
        </w:rPr>
        <w:t xml:space="preserve"> </w:t>
      </w:r>
      <w:r w:rsidRPr="00DE005D">
        <w:rPr>
          <w:b w:val="0"/>
          <w:bCs/>
        </w:rPr>
        <w:t xml:space="preserve">similar prior patients, can improve performance on real-world clinical outcome prediction  though these evaluations have typically focused on individual outcomes or model settings. </w:t>
      </w:r>
      <w:r w:rsidR="00EC4B5E" w:rsidRPr="00DE005D">
        <w:rPr>
          <w:b w:val="0"/>
          <w:bCs/>
        </w:rPr>
        <w:t xml:space="preserve">Extending prior work, we introduce PORE-LM, a </w:t>
      </w:r>
      <w:r w:rsidR="00EC4B5E" w:rsidRPr="00886F74">
        <w:t>P</w:t>
      </w:r>
      <w:r w:rsidR="00EC4B5E" w:rsidRPr="00DE005D">
        <w:rPr>
          <w:b w:val="0"/>
          <w:bCs/>
        </w:rPr>
        <w:t xml:space="preserve">ersonalized, </w:t>
      </w:r>
      <w:r w:rsidR="009914BD">
        <w:t>Outcome-aware</w:t>
      </w:r>
      <w:r w:rsidR="00EC4B5E" w:rsidRPr="00DE005D">
        <w:rPr>
          <w:b w:val="0"/>
          <w:bCs/>
        </w:rPr>
        <w:t xml:space="preserve"> </w:t>
      </w:r>
      <w:r w:rsidR="00EC4B5E" w:rsidRPr="00886F74">
        <w:t>R</w:t>
      </w:r>
      <w:r w:rsidR="00EC4B5E" w:rsidRPr="00DE005D">
        <w:rPr>
          <w:b w:val="0"/>
          <w:bCs/>
        </w:rPr>
        <w:t>W</w:t>
      </w:r>
      <w:r w:rsidR="00EC4B5E" w:rsidRPr="00886F74">
        <w:t>E</w:t>
      </w:r>
      <w:r w:rsidR="00EC4B5E" w:rsidRPr="00DE005D">
        <w:rPr>
          <w:b w:val="0"/>
          <w:bCs/>
        </w:rPr>
        <w:t xml:space="preserve"> module for </w:t>
      </w:r>
      <w:r w:rsidR="00EC4B5E" w:rsidRPr="00886F74">
        <w:t>L</w:t>
      </w:r>
      <w:r w:rsidR="00EC4B5E" w:rsidRPr="00DE005D">
        <w:rPr>
          <w:b w:val="0"/>
          <w:bCs/>
        </w:rPr>
        <w:t xml:space="preserve">anguage </w:t>
      </w:r>
      <w:r w:rsidR="00EC4B5E" w:rsidRPr="00886F74">
        <w:t>M</w:t>
      </w:r>
      <w:r w:rsidR="00EC4B5E" w:rsidRPr="00DE005D">
        <w:rPr>
          <w:b w:val="0"/>
          <w:bCs/>
        </w:rPr>
        <w:t xml:space="preserve">odels, and demonstrate its robustness across multiple clinical outcomes in traumatic brain injury (TBI) care. PORE-LM retrieves outcome-relevant prior patients as contextual evidence for each test case, enabling personalized outcome prediction. Across language models and outcomes, we demonstrate that incorporating RWE </w:t>
      </w:r>
      <w:r w:rsidR="004807C8" w:rsidRPr="00DE005D">
        <w:rPr>
          <w:b w:val="0"/>
          <w:bCs/>
        </w:rPr>
        <w:t xml:space="preserve">as context </w:t>
      </w:r>
      <w:r w:rsidR="00EC4B5E" w:rsidRPr="00DE005D">
        <w:rPr>
          <w:b w:val="0"/>
          <w:bCs/>
        </w:rPr>
        <w:t xml:space="preserve">yields consistent performance gains and that RWE is inherently </w:t>
      </w:r>
      <w:r w:rsidR="009914BD">
        <w:rPr>
          <w:b w:val="0"/>
          <w:bCs/>
        </w:rPr>
        <w:t>outcome-aware</w:t>
      </w:r>
      <w:r w:rsidR="00EC4B5E" w:rsidRPr="00DE005D">
        <w:rPr>
          <w:b w:val="0"/>
          <w:bCs/>
        </w:rPr>
        <w:t>: the set of prior patients most informative for a given individual varies systematically with the clinical outcome being predicted.</w:t>
      </w:r>
    </w:p>
    <w:p w14:paraId="55E8A2B0" w14:textId="2F6A8DAC" w:rsidR="00226AB3" w:rsidRDefault="00226AB3" w:rsidP="00A84AC8">
      <w:pPr>
        <w:ind w:left="0" w:firstLine="0"/>
      </w:pPr>
    </w:p>
    <w:p w14:paraId="503847BB" w14:textId="6890434E" w:rsidR="007652E0" w:rsidRPr="00033DEF" w:rsidRDefault="007E5AD9" w:rsidP="00A84AC8">
      <w:pPr>
        <w:ind w:left="0" w:firstLine="0"/>
        <w:rPr>
          <w:b/>
          <w:bCs/>
        </w:rPr>
      </w:pPr>
      <w:r w:rsidRPr="007E5AD9">
        <w:rPr>
          <w:b/>
          <w:bCs/>
        </w:rPr>
        <w:t>Methods</w:t>
      </w:r>
    </w:p>
    <w:p w14:paraId="1449190B" w14:textId="2C9F7603" w:rsidR="00E47A6B" w:rsidRDefault="00033DEF" w:rsidP="00A84AC8">
      <w:pPr>
        <w:ind w:left="-5"/>
      </w:pPr>
      <w:r w:rsidRPr="00033DEF">
        <w:t xml:space="preserve">We evaluated PORE-LM on a large multimodal cohort of </w:t>
      </w:r>
      <w:r w:rsidR="00E11434">
        <w:t>TBI</w:t>
      </w:r>
      <w:r w:rsidRPr="00033DEF">
        <w:t xml:space="preserve"> emergency department (ED) encounters collected from three institutions within the Duke Health System. Each encounter was treated as an individual patient instance. The dataset includes laboratory analytes, vital signs, CT-derived imaging features, radiology report labels, and clinical orders recorded during the ED visit. Patients who expired in the ED were excluded from the cohort. Performance was evaluated on a held-out test set of 2,236 patients, with patient retrieval performed over a database of 9,466 patients. We consider three clinically relevant binary outcomes: </w:t>
      </w:r>
      <w:r w:rsidRPr="00626436">
        <w:rPr>
          <w:i/>
          <w:iCs/>
        </w:rPr>
        <w:t>ED disposition</w:t>
      </w:r>
      <w:r w:rsidRPr="00033DEF">
        <w:t xml:space="preserve">, predicting whether a patient is admitted to the hospital or discharged from the ED (29.7% admission rate); </w:t>
      </w:r>
      <w:r w:rsidRPr="00626436">
        <w:rPr>
          <w:i/>
          <w:iCs/>
        </w:rPr>
        <w:t>favorable discharge disposition</w:t>
      </w:r>
      <w:r w:rsidRPr="00033DEF">
        <w:t xml:space="preserve">, defined as discharge to home or rehabilitation versus unfavorable </w:t>
      </w:r>
      <w:r w:rsidR="00E11434">
        <w:t xml:space="preserve">negative </w:t>
      </w:r>
      <w:r w:rsidRPr="00033DEF">
        <w:t>outcomes</w:t>
      </w:r>
      <w:r w:rsidR="009914BD">
        <w:t xml:space="preserve"> </w:t>
      </w:r>
      <w:r w:rsidR="009914BD" w:rsidRPr="00033DEF">
        <w:t xml:space="preserve">(13.5% </w:t>
      </w:r>
      <w:r w:rsidR="009914BD">
        <w:t>negative</w:t>
      </w:r>
      <w:r w:rsidR="009914BD" w:rsidRPr="00033DEF">
        <w:t xml:space="preserve"> rate)</w:t>
      </w:r>
      <w:r w:rsidRPr="00033DEF">
        <w:t xml:space="preserve"> such as critical care, long-term acute care</w:t>
      </w:r>
      <w:r w:rsidR="00E11434">
        <w:t xml:space="preserve">, </w:t>
      </w:r>
      <w:r w:rsidRPr="00033DEF">
        <w:t xml:space="preserve">transfer, skilled nursing facility placement, or in-patient death; and </w:t>
      </w:r>
      <w:r w:rsidRPr="00626436">
        <w:rPr>
          <w:i/>
          <w:iCs/>
        </w:rPr>
        <w:t>in-patient mortality</w:t>
      </w:r>
      <w:r w:rsidRPr="00033DEF">
        <w:t>, a highly imbalanced outcome indicating whether a patient died during the hospital stay (</w:t>
      </w:r>
      <w:r w:rsidR="00626436">
        <w:t>~</w:t>
      </w:r>
      <w:r w:rsidRPr="00033DEF">
        <w:t xml:space="preserve">3% event rate). </w:t>
      </w:r>
    </w:p>
    <w:p w14:paraId="6A9DB36C" w14:textId="5353EC7A" w:rsidR="005F1CAF" w:rsidRDefault="00033DEF" w:rsidP="00A84AC8">
      <w:pPr>
        <w:ind w:left="-5"/>
      </w:pPr>
      <w:r w:rsidRPr="00033DEF">
        <w:t>As illustrated in Figure 1,</w:t>
      </w:r>
      <w:r w:rsidR="009914BD">
        <w:t xml:space="preserve"> each test patient is </w:t>
      </w:r>
      <w:r w:rsidR="00832069">
        <w:t>represented</w:t>
      </w:r>
      <w:r w:rsidR="009914BD">
        <w:t xml:space="preserve"> into a textual summary and</w:t>
      </w:r>
      <w:r w:rsidRPr="00033DEF">
        <w:t xml:space="preserve"> </w:t>
      </w:r>
      <w:r w:rsidR="00832069">
        <w:t xml:space="preserve">the </w:t>
      </w:r>
      <w:r w:rsidRPr="00033DEF">
        <w:t xml:space="preserve">patient’s multimodal clinical data using an autoencoder to obtain a generalizable patient encounter embedding. To support outcome-aware retrieval, we learn lightweight </w:t>
      </w:r>
      <w:r w:rsidR="009914BD">
        <w:t>outcome-aware</w:t>
      </w:r>
      <w:r w:rsidRPr="00033DEF">
        <w:t xml:space="preserve"> gating adapters on top of this embedding space, each trained using supervised </w:t>
      </w:r>
      <w:r w:rsidRPr="00033DEF">
        <w:lastRenderedPageBreak/>
        <w:t xml:space="preserve">contrastive learning to reshape </w:t>
      </w:r>
      <w:r w:rsidR="00DE005D">
        <w:rPr>
          <w:noProof/>
        </w:rPr>
        <mc:AlternateContent>
          <mc:Choice Requires="wps">
            <w:drawing>
              <wp:anchor distT="0" distB="0" distL="114300" distR="114300" simplePos="0" relativeHeight="251659264" behindDoc="1" locked="0" layoutInCell="1" allowOverlap="1" wp14:anchorId="141044D2" wp14:editId="16F948B0">
                <wp:simplePos x="0" y="0"/>
                <wp:positionH relativeFrom="column">
                  <wp:posOffset>2011680</wp:posOffset>
                </wp:positionH>
                <wp:positionV relativeFrom="paragraph">
                  <wp:posOffset>3810</wp:posOffset>
                </wp:positionV>
                <wp:extent cx="3938905" cy="2265045"/>
                <wp:effectExtent l="0" t="0" r="0" b="3810"/>
                <wp:wrapTight wrapText="bothSides">
                  <wp:wrapPolygon edited="0">
                    <wp:start x="0" y="0"/>
                    <wp:lineTo x="0" y="21437"/>
                    <wp:lineTo x="21520" y="21437"/>
                    <wp:lineTo x="21520" y="0"/>
                    <wp:lineTo x="0" y="0"/>
                  </wp:wrapPolygon>
                </wp:wrapTight>
                <wp:docPr id="510463295" name="Text Box 4"/>
                <wp:cNvGraphicFramePr/>
                <a:graphic xmlns:a="http://schemas.openxmlformats.org/drawingml/2006/main">
                  <a:graphicData uri="http://schemas.microsoft.com/office/word/2010/wordprocessingShape">
                    <wps:wsp>
                      <wps:cNvSpPr txBox="1"/>
                      <wps:spPr>
                        <a:xfrm>
                          <a:off x="0" y="0"/>
                          <a:ext cx="3938905" cy="2265045"/>
                        </a:xfrm>
                        <a:prstGeom prst="rect">
                          <a:avLst/>
                        </a:prstGeom>
                        <a:solidFill>
                          <a:schemeClr val="lt1"/>
                        </a:solidFill>
                        <a:ln w="6350">
                          <a:noFill/>
                        </a:ln>
                      </wps:spPr>
                      <wps:txbx>
                        <w:txbxContent>
                          <w:p w14:paraId="52CCA6F6" w14:textId="12A5D04D" w:rsidR="00033DEF" w:rsidRDefault="00C17835">
                            <w:pPr>
                              <w:ind w:left="0"/>
                            </w:pPr>
                            <w:r>
                              <w:t xml:space="preserve"> </w:t>
                            </w:r>
                            <w:r w:rsidR="007B2742">
                              <w:rPr>
                                <w:noProof/>
                              </w:rPr>
                              <w:drawing>
                                <wp:inline distT="0" distB="0" distL="0" distR="0" wp14:anchorId="3C2F3CE3" wp14:editId="7466465A">
                                  <wp:extent cx="3656717" cy="1858645"/>
                                  <wp:effectExtent l="0" t="0" r="0" b="0"/>
                                  <wp:docPr id="599683945" name="Picture 9"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785" name="Picture 9" descr="A graph of different siz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56717" cy="1858645"/>
                                          </a:xfrm>
                                          <a:prstGeom prst="rect">
                                            <a:avLst/>
                                          </a:prstGeom>
                                        </pic:spPr>
                                      </pic:pic>
                                    </a:graphicData>
                                  </a:graphic>
                                </wp:inline>
                              </w:drawing>
                            </w:r>
                          </w:p>
                          <w:p w14:paraId="634D4478" w14:textId="08FB4DF4" w:rsidR="00033DEF" w:rsidRDefault="00033DEF">
                            <w:pPr>
                              <w:ind w:left="0"/>
                            </w:pPr>
                            <w:r w:rsidRPr="009B5B66">
                              <w:rPr>
                                <w:b/>
                                <w:bCs/>
                              </w:rPr>
                              <w:t xml:space="preserve">Figure </w:t>
                            </w:r>
                            <w:r w:rsidR="00DA6614" w:rsidRPr="009B5B66">
                              <w:rPr>
                                <w:b/>
                                <w:bCs/>
                              </w:rPr>
                              <w:t>2</w:t>
                            </w:r>
                            <w:r w:rsidR="009B5B66" w:rsidRPr="009B5B66">
                              <w:rPr>
                                <w:b/>
                                <w:bCs/>
                              </w:rPr>
                              <w:t>.</w:t>
                            </w:r>
                            <w:r>
                              <w:t xml:space="preserve"> Predictive Performance (F1 Scores) with and without RWE (</w:t>
                            </w:r>
                            <w:r w:rsidR="00405222">
                              <w:t>K</w:t>
                            </w:r>
                            <w:r>
                              <w:t>=5) as context across</w:t>
                            </w:r>
                            <w:r w:rsidR="00DA6614">
                              <w:t xml:space="preserve"> </w:t>
                            </w:r>
                            <w:r>
                              <w:t xml:space="preserve">clinical outcomes and language models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044D2" id="Text Box 4" o:spid="_x0000_s1027" type="#_x0000_t202" style="position:absolute;left:0;text-align:left;margin-left:158.4pt;margin-top:.3pt;width:310.15pt;height:17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" fillcolor="white [3201]" stroked="f" strokeweight=".5pt">
                <v:textbox>
                  <w:txbxContent>
                    <w:p w14:paraId="52CCA6F6" w14:textId="12A5D04D" w:rsidR="00033DEF" w:rsidRDefault="00C17835">
                      <w:pPr>
                        <w:ind w:left="0"/>
                      </w:pPr>
                      <w:r>
                        <w:t xml:space="preserve"> </w:t>
                      </w:r>
                      <w:r w:rsidR="007B2742">
                        <w:rPr>
                          <w:noProof/>
                        </w:rPr>
                        <w:drawing>
                          <wp:inline distT="0" distB="0" distL="0" distR="0" wp14:anchorId="3C2F3CE3" wp14:editId="7466465A">
                            <wp:extent cx="3656717" cy="1858645"/>
                            <wp:effectExtent l="0" t="0" r="0" b="0"/>
                            <wp:docPr id="599683945" name="Picture 9"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785" name="Picture 9" descr="A graph of different siz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56717" cy="1858645"/>
                                    </a:xfrm>
                                    <a:prstGeom prst="rect">
                                      <a:avLst/>
                                    </a:prstGeom>
                                  </pic:spPr>
                                </pic:pic>
                              </a:graphicData>
                            </a:graphic>
                          </wp:inline>
                        </w:drawing>
                      </w:r>
                    </w:p>
                    <w:p w14:paraId="634D4478" w14:textId="08FB4DF4" w:rsidR="00033DEF" w:rsidRDefault="00033DEF">
                      <w:pPr>
                        <w:ind w:left="0"/>
                      </w:pPr>
                      <w:r w:rsidRPr="009B5B66">
                        <w:rPr>
                          <w:b/>
                          <w:bCs/>
                        </w:rPr>
                        <w:t xml:space="preserve">Figure </w:t>
                      </w:r>
                      <w:r w:rsidR="00DA6614" w:rsidRPr="009B5B66">
                        <w:rPr>
                          <w:b/>
                          <w:bCs/>
                        </w:rPr>
                        <w:t>2</w:t>
                      </w:r>
                      <w:r w:rsidR="009B5B66" w:rsidRPr="009B5B66">
                        <w:rPr>
                          <w:b/>
                          <w:bCs/>
                        </w:rPr>
                        <w:t>.</w:t>
                      </w:r>
                      <w:r>
                        <w:t xml:space="preserve"> Predictive Performance (F1 Scores) with and without RWE (</w:t>
                      </w:r>
                      <w:r w:rsidR="00405222">
                        <w:t>K</w:t>
                      </w:r>
                      <w:r>
                        <w:t>=5) as context across</w:t>
                      </w:r>
                      <w:r w:rsidR="00DA6614">
                        <w:t xml:space="preserve"> </w:t>
                      </w:r>
                      <w:r>
                        <w:t xml:space="preserve">clinical outcomes and language models </w:t>
                      </w:r>
                    </w:p>
                  </w:txbxContent>
                </v:textbox>
                <w10:wrap type="tight"/>
              </v:shape>
            </w:pict>
          </mc:Fallback>
        </mc:AlternateContent>
      </w:r>
      <w:r w:rsidRPr="00033DEF">
        <w:t xml:space="preserve">the representation according to the outcome of interest. Retrieved patients are then converted into structured textual summaries and appended as contextual evidence to the language model. We evaluate PORE-LM across </w:t>
      </w:r>
      <w:r w:rsidR="00626436">
        <w:t xml:space="preserve">six </w:t>
      </w:r>
      <w:r w:rsidRPr="00033DEF">
        <w:t>language models</w:t>
      </w:r>
      <w:r w:rsidR="00626436">
        <w:t xml:space="preserve">: </w:t>
      </w:r>
      <w:proofErr w:type="spellStart"/>
      <w:r w:rsidRPr="00033DEF">
        <w:t>SmolLM</w:t>
      </w:r>
      <w:proofErr w:type="spellEnd"/>
      <w:r w:rsidRPr="00033DEF">
        <w:t>, Phi,</w:t>
      </w:r>
      <w:r w:rsidR="00626436">
        <w:t xml:space="preserve"> </w:t>
      </w:r>
      <w:r w:rsidRPr="00033DEF">
        <w:t>Qwen</w:t>
      </w:r>
      <w:r w:rsidR="00626436">
        <w:t xml:space="preserve">, </w:t>
      </w:r>
      <w:proofErr w:type="spellStart"/>
      <w:r w:rsidRPr="00033DEF">
        <w:t>MediPhi</w:t>
      </w:r>
      <w:proofErr w:type="spellEnd"/>
      <w:r w:rsidRPr="00033DEF">
        <w:t>,</w:t>
      </w:r>
      <w:r w:rsidR="00626436">
        <w:t xml:space="preserve"> </w:t>
      </w:r>
      <w:proofErr w:type="spellStart"/>
      <w:r w:rsidRPr="00033DEF">
        <w:t>MediPhi</w:t>
      </w:r>
      <w:proofErr w:type="spellEnd"/>
      <w:r w:rsidRPr="00033DEF">
        <w:t xml:space="preserve"> Guideline, and </w:t>
      </w:r>
      <w:proofErr w:type="spellStart"/>
      <w:r w:rsidRPr="00033DEF">
        <w:t>MediPhi</w:t>
      </w:r>
      <w:proofErr w:type="spellEnd"/>
      <w:r w:rsidRPr="00033DEF">
        <w:t xml:space="preserve"> Clinical.</w:t>
      </w:r>
    </w:p>
    <w:p w14:paraId="00DBD38A" w14:textId="4D0D3C49" w:rsidR="00033DEF" w:rsidRDefault="00033DEF" w:rsidP="00A84AC8">
      <w:pPr>
        <w:ind w:left="-5"/>
      </w:pPr>
    </w:p>
    <w:p w14:paraId="5E946447" w14:textId="5D248E07" w:rsidR="00033DEF" w:rsidRPr="00033DEF" w:rsidRDefault="005F1CAF" w:rsidP="00A84AC8">
      <w:pPr>
        <w:ind w:left="-5"/>
        <w:rPr>
          <w:b/>
          <w:bCs/>
        </w:rPr>
      </w:pPr>
      <w:r w:rsidRPr="00033DEF">
        <w:rPr>
          <w:b/>
          <w:bCs/>
        </w:rPr>
        <w:t>Results</w:t>
      </w:r>
    </w:p>
    <w:p w14:paraId="44C9B978" w14:textId="0DF87FD2" w:rsidR="0018438B" w:rsidRDefault="00A779DE" w:rsidP="009B5B66">
      <w:pPr>
        <w:ind w:left="-5"/>
        <w:rPr>
          <w:noProof/>
        </w:rPr>
      </w:pPr>
      <w:r>
        <w:rPr>
          <w:noProof/>
        </w:rPr>
        <mc:AlternateContent>
          <mc:Choice Requires="wps">
            <w:drawing>
              <wp:anchor distT="0" distB="0" distL="114300" distR="114300" simplePos="0" relativeHeight="251662336" behindDoc="1" locked="0" layoutInCell="1" allowOverlap="1" wp14:anchorId="0652E386" wp14:editId="787B7606">
                <wp:simplePos x="0" y="0"/>
                <wp:positionH relativeFrom="column">
                  <wp:posOffset>-10795</wp:posOffset>
                </wp:positionH>
                <wp:positionV relativeFrom="paragraph">
                  <wp:posOffset>1316990</wp:posOffset>
                </wp:positionV>
                <wp:extent cx="3611880" cy="3154045"/>
                <wp:effectExtent l="0" t="0" r="0" b="0"/>
                <wp:wrapTight wrapText="bothSides">
                  <wp:wrapPolygon edited="0">
                    <wp:start x="0" y="0"/>
                    <wp:lineTo x="0" y="21483"/>
                    <wp:lineTo x="21494" y="21483"/>
                    <wp:lineTo x="21494" y="0"/>
                    <wp:lineTo x="0" y="0"/>
                  </wp:wrapPolygon>
                </wp:wrapTight>
                <wp:docPr id="519058611" name="Text Box 8"/>
                <wp:cNvGraphicFramePr/>
                <a:graphic xmlns:a="http://schemas.openxmlformats.org/drawingml/2006/main">
                  <a:graphicData uri="http://schemas.microsoft.com/office/word/2010/wordprocessingShape">
                    <wps:wsp>
                      <wps:cNvSpPr txBox="1"/>
                      <wps:spPr>
                        <a:xfrm>
                          <a:off x="0" y="0"/>
                          <a:ext cx="3611880" cy="3154045"/>
                        </a:xfrm>
                        <a:prstGeom prst="rect">
                          <a:avLst/>
                        </a:prstGeom>
                        <a:solidFill>
                          <a:schemeClr val="lt1"/>
                        </a:solidFill>
                        <a:ln w="6350">
                          <a:noFill/>
                        </a:ln>
                      </wps:spPr>
                      <wps:txbx>
                        <w:txbxContent>
                          <w:p w14:paraId="39E10226" w14:textId="02034CB2" w:rsidR="00DA7C0A" w:rsidRDefault="0032057A" w:rsidP="00DA7C0A">
                            <w:pPr>
                              <w:ind w:left="1" w:firstLine="9"/>
                            </w:pPr>
                            <w:r>
                              <w:rPr>
                                <w:noProof/>
                              </w:rPr>
                              <w:drawing>
                                <wp:inline distT="0" distB="0" distL="0" distR="0" wp14:anchorId="53A1E9C8" wp14:editId="55100739">
                                  <wp:extent cx="3359650" cy="2302024"/>
                                  <wp:effectExtent l="0" t="0" r="6350" b="0"/>
                                  <wp:docPr id="139109775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284" name="Picture 10"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50326" cy="2364155"/>
                                          </a:xfrm>
                                          <a:prstGeom prst="rect">
                                            <a:avLst/>
                                          </a:prstGeom>
                                        </pic:spPr>
                                      </pic:pic>
                                    </a:graphicData>
                                  </a:graphic>
                                </wp:inline>
                              </w:drawing>
                            </w:r>
                          </w:p>
                          <w:p w14:paraId="2F383A6C" w14:textId="2F4FBAF4" w:rsidR="00DA7C0A" w:rsidRDefault="00DA7C0A" w:rsidP="00DA7C0A">
                            <w:r w:rsidRPr="009B5B66">
                              <w:rPr>
                                <w:b/>
                                <w:bCs/>
                              </w:rPr>
                              <w:t>Figure 3</w:t>
                            </w:r>
                            <w:r w:rsidR="009B5B66" w:rsidRPr="009B5B66">
                              <w:rPr>
                                <w:b/>
                                <w:bCs/>
                              </w:rPr>
                              <w:t>.</w:t>
                            </w:r>
                            <w:r>
                              <w:t xml:space="preserve"> </w:t>
                            </w:r>
                            <w:r w:rsidR="000D7E00">
                              <w:t>[</w:t>
                            </w:r>
                            <w:r w:rsidR="00666D89">
                              <w:t>K=5</w:t>
                            </w:r>
                            <w:r w:rsidR="000D7E00">
                              <w:t>]</w:t>
                            </w:r>
                            <w:r w:rsidR="009B5B66">
                              <w:t xml:space="preserve"> </w:t>
                            </w:r>
                            <w:r>
                              <w:t xml:space="preserve">(a) </w:t>
                            </w:r>
                            <w:r w:rsidR="007B2742">
                              <w:t xml:space="preserve">F1 Scores for </w:t>
                            </w:r>
                            <w:r>
                              <w:t xml:space="preserve">Generalized Embedding </w:t>
                            </w:r>
                            <w:r w:rsidR="00D93763">
                              <w:t>s</w:t>
                            </w:r>
                            <w:r>
                              <w:t xml:space="preserve">pace vs </w:t>
                            </w:r>
                            <w:r w:rsidR="009914BD">
                              <w:t>Outcome-aware</w:t>
                            </w:r>
                            <w:r>
                              <w:t xml:space="preserve"> Personalized Embeddings space across all language models (b) The average </w:t>
                            </w:r>
                            <w:r w:rsidR="00832069">
                              <w:t>distribution</w:t>
                            </w:r>
                            <w:r>
                              <w:t xml:space="preserve"> of overlapping neighbors between the generalized and </w:t>
                            </w:r>
                            <w:r w:rsidR="009914BD">
                              <w:t>outcome-aware</w:t>
                            </w:r>
                            <w:r>
                              <w:t xml:space="preserve"> embedding space</w:t>
                            </w:r>
                            <w:r w:rsidR="009B5B66">
                              <w:t xml:space="preserve"> across outcomes</w:t>
                            </w:r>
                            <w:r w:rsidR="00666D89">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2E386" id="Text Box 8" o:spid="_x0000_s1028" type="#_x0000_t202" style="position:absolute;left:0;text-align:left;margin-left:-.85pt;margin-top:103.7pt;width:284.4pt;height:248.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" fillcolor="white [3201]" stroked="f" strokeweight=".5pt">
                <v:textbox>
                  <w:txbxContent>
                    <w:p w14:paraId="39E10226" w14:textId="02034CB2" w:rsidR="00DA7C0A" w:rsidRDefault="0032057A" w:rsidP="00DA7C0A">
                      <w:pPr>
                        <w:ind w:left="1" w:firstLine="9"/>
                      </w:pPr>
                      <w:r>
                        <w:rPr>
                          <w:noProof/>
                        </w:rPr>
                        <w:drawing>
                          <wp:inline distT="0" distB="0" distL="0" distR="0" wp14:anchorId="53A1E9C8" wp14:editId="55100739">
                            <wp:extent cx="3359650" cy="2302024"/>
                            <wp:effectExtent l="0" t="0" r="6350" b="0"/>
                            <wp:docPr id="139109775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3284" name="Picture 10"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50326" cy="2364155"/>
                                    </a:xfrm>
                                    <a:prstGeom prst="rect">
                                      <a:avLst/>
                                    </a:prstGeom>
                                  </pic:spPr>
                                </pic:pic>
                              </a:graphicData>
                            </a:graphic>
                          </wp:inline>
                        </w:drawing>
                      </w:r>
                    </w:p>
                    <w:p w14:paraId="2F383A6C" w14:textId="2F4FBAF4" w:rsidR="00DA7C0A" w:rsidRDefault="00DA7C0A" w:rsidP="00DA7C0A">
                      <w:r w:rsidRPr="009B5B66">
                        <w:rPr>
                          <w:b/>
                          <w:bCs/>
                        </w:rPr>
                        <w:t>Figure 3</w:t>
                      </w:r>
                      <w:r w:rsidR="009B5B66" w:rsidRPr="009B5B66">
                        <w:rPr>
                          <w:b/>
                          <w:bCs/>
                        </w:rPr>
                        <w:t>.</w:t>
                      </w:r>
                      <w:r>
                        <w:t xml:space="preserve"> </w:t>
                      </w:r>
                      <w:r w:rsidR="000D7E00">
                        <w:t>[</w:t>
                      </w:r>
                      <w:r w:rsidR="00666D89">
                        <w:t>K=5</w:t>
                      </w:r>
                      <w:r w:rsidR="000D7E00">
                        <w:t>]</w:t>
                      </w:r>
                      <w:r w:rsidR="009B5B66">
                        <w:t xml:space="preserve"> </w:t>
                      </w:r>
                      <w:r>
                        <w:t xml:space="preserve">(a) </w:t>
                      </w:r>
                      <w:r w:rsidR="007B2742">
                        <w:t xml:space="preserve">F1 Scores for </w:t>
                      </w:r>
                      <w:r>
                        <w:t xml:space="preserve">Generalized Embedding </w:t>
                      </w:r>
                      <w:r w:rsidR="00D93763">
                        <w:t>s</w:t>
                      </w:r>
                      <w:r>
                        <w:t xml:space="preserve">pace vs </w:t>
                      </w:r>
                      <w:r w:rsidR="009914BD">
                        <w:t>Outcome-aware</w:t>
                      </w:r>
                      <w:r>
                        <w:t xml:space="preserve"> Personalized Embeddings space across all language models (b) The average </w:t>
                      </w:r>
                      <w:r w:rsidR="00832069">
                        <w:t>distribution</w:t>
                      </w:r>
                      <w:r>
                        <w:t xml:space="preserve"> of overlapping neighbors between the generalized and </w:t>
                      </w:r>
                      <w:r w:rsidR="009914BD">
                        <w:t>outcome-aware</w:t>
                      </w:r>
                      <w:r>
                        <w:t xml:space="preserve"> embedding space</w:t>
                      </w:r>
                      <w:r w:rsidR="009B5B66">
                        <w:t xml:space="preserve"> across outcomes</w:t>
                      </w:r>
                      <w:r w:rsidR="00666D89">
                        <w:t xml:space="preserve">. </w:t>
                      </w:r>
                    </w:p>
                  </w:txbxContent>
                </v:textbox>
                <w10:wrap type="tight"/>
              </v:shape>
            </w:pict>
          </mc:Fallback>
        </mc:AlternateContent>
      </w:r>
      <w:r w:rsidR="0018438B" w:rsidRPr="0018438B">
        <w:rPr>
          <w:noProof/>
        </w:rPr>
        <w:t xml:space="preserve">Figure 2 shows that incorporating similar past patients as context in PORE-LM improves performance across the majority of models and clinical outcomes. On average, we observe increases in F1 score of 0.234 for ED Disposition, 0.391 for Discharge Disposition, and 0.077 for Expired across all language models. As illustrated in Figure 3a, </w:t>
      </w:r>
      <w:r w:rsidR="009914BD">
        <w:rPr>
          <w:noProof/>
        </w:rPr>
        <w:t>outcome-aware</w:t>
      </w:r>
      <w:r w:rsidR="009B5B66">
        <w:rPr>
          <w:noProof/>
        </w:rPr>
        <w:t xml:space="preserve"> </w:t>
      </w:r>
      <w:r w:rsidR="0018438B" w:rsidRPr="0018438B">
        <w:rPr>
          <w:noProof/>
        </w:rPr>
        <w:t>embedding space for ED Disposition and Discharge Disposition leads to noticeable improvements across all language models, while for in-patient mortality the improvements are observed for all models except SmolLM.</w:t>
      </w:r>
      <w:r w:rsidR="0018438B">
        <w:t xml:space="preserve"> </w:t>
      </w:r>
      <w:r w:rsidR="00886F74" w:rsidRPr="00886F74">
        <w:rPr>
          <w:noProof/>
        </w:rPr>
        <w:t xml:space="preserve">Figure 3b shows that most test patients share only </w:t>
      </w:r>
      <w:r w:rsidR="00886F74">
        <w:rPr>
          <w:noProof/>
        </w:rPr>
        <w:t>1</w:t>
      </w:r>
      <w:r w:rsidR="00886F74" w:rsidRPr="00886F74">
        <w:rPr>
          <w:noProof/>
        </w:rPr>
        <w:t>–</w:t>
      </w:r>
      <w:r w:rsidR="00886F74">
        <w:rPr>
          <w:noProof/>
        </w:rPr>
        <w:t>2</w:t>
      </w:r>
      <w:r w:rsidR="00886F74" w:rsidRPr="00886F74">
        <w:rPr>
          <w:noProof/>
        </w:rPr>
        <w:t xml:space="preserve"> of 5 neighbors between </w:t>
      </w:r>
      <w:r w:rsidR="009914BD">
        <w:rPr>
          <w:noProof/>
        </w:rPr>
        <w:t>outcome-aware</w:t>
      </w:r>
      <w:r w:rsidR="00886F74" w:rsidRPr="00886F74">
        <w:rPr>
          <w:noProof/>
        </w:rPr>
        <w:t xml:space="preserve"> and generalizable embedding spaces, suggesting that personalization significantly reshapes patient neighborhoods.</w:t>
      </w:r>
      <w:r w:rsidR="0018438B" w:rsidRPr="0018438B">
        <w:rPr>
          <w:noProof/>
        </w:rPr>
        <w:t xml:space="preserve"> </w:t>
      </w:r>
    </w:p>
    <w:p w14:paraId="68AA502C" w14:textId="77777777" w:rsidR="009B5B66" w:rsidRDefault="009B5B66" w:rsidP="009B5B66">
      <w:pPr>
        <w:ind w:left="-5"/>
        <w:rPr>
          <w:noProof/>
        </w:rPr>
      </w:pPr>
    </w:p>
    <w:p w14:paraId="120D65CD" w14:textId="5EED9672" w:rsidR="00EC4B5E" w:rsidRPr="0018438B" w:rsidRDefault="0018438B" w:rsidP="00EC4B5E">
      <w:pPr>
        <w:ind w:left="-5"/>
        <w:rPr>
          <w:b/>
          <w:bCs/>
        </w:rPr>
      </w:pPr>
      <w:r w:rsidRPr="0018438B">
        <w:rPr>
          <w:b/>
          <w:bCs/>
        </w:rPr>
        <w:t>Discussion</w:t>
      </w:r>
    </w:p>
    <w:p w14:paraId="58F2EFD0" w14:textId="36D58E1E" w:rsidR="009B5B66" w:rsidRDefault="000D7E00" w:rsidP="006458F2">
      <w:pPr>
        <w:ind w:left="0" w:firstLine="0"/>
      </w:pPr>
      <w:r w:rsidRPr="000D7E00">
        <w:t xml:space="preserve">These findings highlight the importance of incorporating outcome-aware real-world evidence when applying language models to patient-specific clinical decision-making. By retrieving clinically similar prior patients in an </w:t>
      </w:r>
      <w:r w:rsidR="009914BD">
        <w:t>outcome-aware</w:t>
      </w:r>
      <w:r w:rsidRPr="000D7E00">
        <w:t xml:space="preserve"> embedding space, PORE-LM grounds predictions in relevant clinical precedents and improves performance across models and outcomes. More broadly, our results suggest that personalized retrieval of real-world evidence may help adapt general-purpose language models to complex, individualized clinical reasoning tasks.</w:t>
      </w:r>
    </w:p>
    <w:p w14:paraId="7852D3A7" w14:textId="77777777" w:rsidR="000D7E00" w:rsidRDefault="000D7E00" w:rsidP="006458F2">
      <w:pPr>
        <w:ind w:left="0" w:firstLine="0"/>
      </w:pPr>
    </w:p>
    <w:p w14:paraId="7EAEEE05" w14:textId="4932B4BC" w:rsidR="00EC4B5E" w:rsidRPr="00EC4B5E" w:rsidRDefault="00EC4B5E" w:rsidP="00EC4B5E">
      <w:pPr>
        <w:ind w:left="-5"/>
        <w:rPr>
          <w:b/>
          <w:bCs/>
        </w:rPr>
      </w:pPr>
      <w:r w:rsidRPr="00EC4B5E">
        <w:rPr>
          <w:b/>
          <w:bCs/>
        </w:rPr>
        <w:t>Conclusion</w:t>
      </w:r>
    </w:p>
    <w:p w14:paraId="4854815C" w14:textId="2D0E5A13" w:rsidR="000D7E00" w:rsidRDefault="000D7E00" w:rsidP="00A84AC8">
      <w:pPr>
        <w:ind w:left="0" w:firstLine="0"/>
      </w:pPr>
      <w:r w:rsidRPr="000D7E00">
        <w:t xml:space="preserve">Together, these results demonstrate that incorporating </w:t>
      </w:r>
      <w:r w:rsidR="009914BD">
        <w:t>outcome-aware</w:t>
      </w:r>
      <w:r w:rsidRPr="000D7E00">
        <w:t xml:space="preserve"> real-world evidence can substantially enhance the ability of language models to perform patient-centered clinical outcome prediction. PORE-LM provides a scalable framework for grounding language model reasoning in clinically relevant prior cases, enabling more personalized and context-aware decision support in real-world healthcare settings.</w:t>
      </w:r>
    </w:p>
    <w:p w14:paraId="72FC1C3E" w14:textId="77777777" w:rsidR="000D7E00" w:rsidRDefault="000D7E00" w:rsidP="00A84AC8">
      <w:pPr>
        <w:ind w:left="0" w:firstLine="0"/>
      </w:pPr>
    </w:p>
    <w:p w14:paraId="57BF6964" w14:textId="77777777" w:rsidR="004D42A5" w:rsidRDefault="00000000">
      <w:pPr>
        <w:spacing w:after="0" w:line="259" w:lineRule="auto"/>
        <w:ind w:left="0" w:right="2" w:firstLine="0"/>
        <w:jc w:val="center"/>
        <w:rPr>
          <w:b/>
        </w:rPr>
      </w:pPr>
      <w:r>
        <w:rPr>
          <w:b/>
        </w:rPr>
        <w:t>References</w:t>
      </w:r>
    </w:p>
    <w:p w14:paraId="7D5F375D" w14:textId="77777777" w:rsidR="007B1F85" w:rsidRPr="007B1F85" w:rsidRDefault="004D42A5" w:rsidP="006148CF">
      <w:pPr>
        <w:pStyle w:val="Bibliography"/>
        <w:spacing w:after="0"/>
        <w:rPr>
          <w:rFonts w:eastAsiaTheme="minorEastAsia"/>
          <w:lang w:bidi="ar-SA"/>
        </w:rPr>
      </w:pPr>
      <w:r>
        <w:rPr>
          <w:b/>
        </w:rPr>
        <w:fldChar w:fldCharType="begin"/>
      </w:r>
      <w:r>
        <w:rPr>
          <w:b/>
        </w:rPr>
        <w:instrText xml:space="preserve"> ADDIN ZOTERO_BIBL {"uncited":[],"omitted":[],"custom":[]} CSL_BIBLIOGRAPHY </w:instrText>
      </w:r>
      <w:r>
        <w:rPr>
          <w:b/>
        </w:rPr>
        <w:fldChar w:fldCharType="separate"/>
      </w:r>
      <w:r w:rsidR="007B1F85" w:rsidRPr="007B1F85">
        <w:rPr>
          <w:rFonts w:eastAsiaTheme="minorEastAsia"/>
          <w:lang w:bidi="ar-SA"/>
        </w:rPr>
        <w:t>1.</w:t>
      </w:r>
      <w:r w:rsidR="007B1F85" w:rsidRPr="007B1F85">
        <w:rPr>
          <w:rFonts w:eastAsiaTheme="minorEastAsia"/>
          <w:lang w:bidi="ar-SA"/>
        </w:rPr>
        <w:tab/>
        <w:t>Al Shboul MKI, Alwreikat A, Alotaibi FA. Investigating the Use of ChatGpt as a Novel Method for Seeking Health Information: A Qualitative Approach. Sci Technol Libr. 2024 Jul 2;43(3):225–34. doi:10.1080/0194262X.2023.2250835</w:t>
      </w:r>
    </w:p>
    <w:p w14:paraId="48DBE2E5" w14:textId="77777777" w:rsidR="007B1F85" w:rsidRPr="007B1F85" w:rsidRDefault="007B1F85" w:rsidP="006148CF">
      <w:pPr>
        <w:pStyle w:val="Bibliography"/>
        <w:spacing w:after="0"/>
        <w:rPr>
          <w:rFonts w:eastAsiaTheme="minorEastAsia"/>
          <w:lang w:bidi="ar-SA"/>
        </w:rPr>
      </w:pPr>
      <w:r w:rsidRPr="007B1F85">
        <w:rPr>
          <w:rFonts w:eastAsiaTheme="minorEastAsia"/>
          <w:lang w:bidi="ar-SA"/>
        </w:rPr>
        <w:t>2.</w:t>
      </w:r>
      <w:r w:rsidRPr="007B1F85">
        <w:rPr>
          <w:rFonts w:eastAsiaTheme="minorEastAsia"/>
          <w:lang w:bidi="ar-SA"/>
        </w:rPr>
        <w:tab/>
        <w:t>Singhal K, Tu T, Gottweis J, Sayres R, Wulczyn E, Amin M, et al. Toward expert-level medical question answering with large language models. Nat Med. 2025 Mar;31(3):943–50. doi:10.1038/s41591-024-03423-7</w:t>
      </w:r>
    </w:p>
    <w:p w14:paraId="369C4BA0" w14:textId="65A8F24A" w:rsidR="007B1F85" w:rsidRPr="007B1F85" w:rsidRDefault="007B1F85" w:rsidP="006148CF">
      <w:pPr>
        <w:pStyle w:val="Bibliography"/>
        <w:spacing w:after="0"/>
        <w:rPr>
          <w:rFonts w:eastAsiaTheme="minorEastAsia"/>
          <w:lang w:bidi="ar-SA"/>
        </w:rPr>
      </w:pPr>
      <w:r w:rsidRPr="007B1F85">
        <w:rPr>
          <w:rFonts w:eastAsiaTheme="minorEastAsia"/>
          <w:lang w:bidi="ar-SA"/>
        </w:rPr>
        <w:t>3.</w:t>
      </w:r>
      <w:r w:rsidRPr="007B1F85">
        <w:rPr>
          <w:rFonts w:eastAsiaTheme="minorEastAsia"/>
          <w:lang w:bidi="ar-SA"/>
        </w:rPr>
        <w:tab/>
        <w:t>Bedi S, Cui H, Fuentes M, Unell A, Wornow M, Banda JM, et al. MedHELM: Holistic Evaluation of Large Language Models for Medical Tasks. arXiv; 2025. doi:10.48550/ARXIV.2505.23802</w:t>
      </w:r>
    </w:p>
    <w:p w14:paraId="2B2358EB" w14:textId="7E33AB91" w:rsidR="00DE005D" w:rsidRPr="00DE005D" w:rsidRDefault="007B1F85" w:rsidP="006148CF">
      <w:pPr>
        <w:pStyle w:val="Bibliography"/>
        <w:spacing w:after="0"/>
        <w:rPr>
          <w:b/>
        </w:rPr>
      </w:pPr>
      <w:r w:rsidRPr="007B1F85">
        <w:rPr>
          <w:rFonts w:eastAsiaTheme="minorEastAsia"/>
          <w:lang w:bidi="ar-SA"/>
        </w:rPr>
        <w:t>4.</w:t>
      </w:r>
      <w:r w:rsidRPr="007B1F85">
        <w:rPr>
          <w:rFonts w:eastAsiaTheme="minorEastAsia"/>
          <w:lang w:bidi="ar-SA"/>
        </w:rPr>
        <w:tab/>
        <w:t>Manjunath P, Lerner B, Dunn TW. Trust Your Neighbors: Multimodal Patient Retrieval for TBI Prognosis. IEEE J Biomed Health Inform. 2025 Dec;29(12):8775–82. doi:10.1109/JBHI.2025.3622508</w:t>
      </w:r>
      <w:r w:rsidR="004D42A5">
        <w:rPr>
          <w:b/>
        </w:rPr>
        <w:fldChar w:fldCharType="end"/>
      </w:r>
    </w:p>
    <w:sectPr w:rsidR="00DE005D" w:rsidRPr="00DE005D">
      <w:pgSz w:w="12240" w:h="15840"/>
      <w:pgMar w:top="1488" w:right="1438" w:bottom="7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77A67"/>
    <w:multiLevelType w:val="hybridMultilevel"/>
    <w:tmpl w:val="6CA2153C"/>
    <w:lvl w:ilvl="0" w:tplc="BAE2DFC6">
      <w:start w:val="1"/>
      <w:numFmt w:val="decimal"/>
      <w:lvlText w:val="%1."/>
      <w:lvlJc w:val="left"/>
      <w:pPr>
        <w:ind w:left="346" w:hanging="360"/>
      </w:pPr>
      <w:rPr>
        <w:rFonts w:hint="default"/>
      </w:rPr>
    </w:lvl>
    <w:lvl w:ilvl="1" w:tplc="04090019" w:tentative="1">
      <w:start w:val="1"/>
      <w:numFmt w:val="lowerLetter"/>
      <w:lvlText w:val="%2."/>
      <w:lvlJc w:val="left"/>
      <w:pPr>
        <w:ind w:left="1066" w:hanging="360"/>
      </w:pPr>
    </w:lvl>
    <w:lvl w:ilvl="2" w:tplc="0409001B" w:tentative="1">
      <w:start w:val="1"/>
      <w:numFmt w:val="lowerRoman"/>
      <w:lvlText w:val="%3."/>
      <w:lvlJc w:val="right"/>
      <w:pPr>
        <w:ind w:left="1786" w:hanging="180"/>
      </w:pPr>
    </w:lvl>
    <w:lvl w:ilvl="3" w:tplc="0409000F" w:tentative="1">
      <w:start w:val="1"/>
      <w:numFmt w:val="decimal"/>
      <w:lvlText w:val="%4."/>
      <w:lvlJc w:val="left"/>
      <w:pPr>
        <w:ind w:left="2506" w:hanging="360"/>
      </w:pPr>
    </w:lvl>
    <w:lvl w:ilvl="4" w:tplc="04090019" w:tentative="1">
      <w:start w:val="1"/>
      <w:numFmt w:val="lowerLetter"/>
      <w:lvlText w:val="%5."/>
      <w:lvlJc w:val="left"/>
      <w:pPr>
        <w:ind w:left="3226" w:hanging="360"/>
      </w:pPr>
    </w:lvl>
    <w:lvl w:ilvl="5" w:tplc="0409001B" w:tentative="1">
      <w:start w:val="1"/>
      <w:numFmt w:val="lowerRoman"/>
      <w:lvlText w:val="%6."/>
      <w:lvlJc w:val="right"/>
      <w:pPr>
        <w:ind w:left="3946" w:hanging="180"/>
      </w:pPr>
    </w:lvl>
    <w:lvl w:ilvl="6" w:tplc="0409000F" w:tentative="1">
      <w:start w:val="1"/>
      <w:numFmt w:val="decimal"/>
      <w:lvlText w:val="%7."/>
      <w:lvlJc w:val="left"/>
      <w:pPr>
        <w:ind w:left="4666" w:hanging="360"/>
      </w:pPr>
    </w:lvl>
    <w:lvl w:ilvl="7" w:tplc="04090019" w:tentative="1">
      <w:start w:val="1"/>
      <w:numFmt w:val="lowerLetter"/>
      <w:lvlText w:val="%8."/>
      <w:lvlJc w:val="left"/>
      <w:pPr>
        <w:ind w:left="5386" w:hanging="360"/>
      </w:pPr>
    </w:lvl>
    <w:lvl w:ilvl="8" w:tplc="0409001B" w:tentative="1">
      <w:start w:val="1"/>
      <w:numFmt w:val="lowerRoman"/>
      <w:lvlText w:val="%9."/>
      <w:lvlJc w:val="right"/>
      <w:pPr>
        <w:ind w:left="6106" w:hanging="180"/>
      </w:pPr>
    </w:lvl>
  </w:abstractNum>
  <w:abstractNum w:abstractNumId="1" w15:restartNumberingAfterBreak="0">
    <w:nsid w:val="710107B5"/>
    <w:multiLevelType w:val="hybridMultilevel"/>
    <w:tmpl w:val="93ACB0F2"/>
    <w:lvl w:ilvl="0" w:tplc="AEB4BCB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A275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7C1B8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4EE81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02E17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9E333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CE1E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B60D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74A8D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242061478">
    <w:abstractNumId w:val="1"/>
  </w:num>
  <w:num w:numId="2" w16cid:durableId="17480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B3"/>
    <w:rsid w:val="00003C93"/>
    <w:rsid w:val="000056B0"/>
    <w:rsid w:val="00033DEF"/>
    <w:rsid w:val="000956FC"/>
    <w:rsid w:val="000B560C"/>
    <w:rsid w:val="000D6802"/>
    <w:rsid w:val="000D7E00"/>
    <w:rsid w:val="0018438B"/>
    <w:rsid w:val="00226AB3"/>
    <w:rsid w:val="00245C13"/>
    <w:rsid w:val="0032057A"/>
    <w:rsid w:val="003664EB"/>
    <w:rsid w:val="00405222"/>
    <w:rsid w:val="00412122"/>
    <w:rsid w:val="00476799"/>
    <w:rsid w:val="004807C8"/>
    <w:rsid w:val="004D42A5"/>
    <w:rsid w:val="004E1126"/>
    <w:rsid w:val="005C6345"/>
    <w:rsid w:val="005F1CAF"/>
    <w:rsid w:val="006148CF"/>
    <w:rsid w:val="00626436"/>
    <w:rsid w:val="00645112"/>
    <w:rsid w:val="006458F2"/>
    <w:rsid w:val="006527F7"/>
    <w:rsid w:val="00666D89"/>
    <w:rsid w:val="00695FE2"/>
    <w:rsid w:val="007652E0"/>
    <w:rsid w:val="00792F80"/>
    <w:rsid w:val="007B1F85"/>
    <w:rsid w:val="007B2742"/>
    <w:rsid w:val="007E5AD9"/>
    <w:rsid w:val="00832069"/>
    <w:rsid w:val="0083206F"/>
    <w:rsid w:val="00856C27"/>
    <w:rsid w:val="00886F74"/>
    <w:rsid w:val="008907B6"/>
    <w:rsid w:val="008D7B9E"/>
    <w:rsid w:val="008F33A8"/>
    <w:rsid w:val="008F3625"/>
    <w:rsid w:val="009914BD"/>
    <w:rsid w:val="009B5B66"/>
    <w:rsid w:val="009D158A"/>
    <w:rsid w:val="00A74266"/>
    <w:rsid w:val="00A779DE"/>
    <w:rsid w:val="00A84AC8"/>
    <w:rsid w:val="00B17CBB"/>
    <w:rsid w:val="00BB7E45"/>
    <w:rsid w:val="00C17835"/>
    <w:rsid w:val="00C22C96"/>
    <w:rsid w:val="00CA6B3D"/>
    <w:rsid w:val="00CD2507"/>
    <w:rsid w:val="00D4457C"/>
    <w:rsid w:val="00D8429D"/>
    <w:rsid w:val="00D93763"/>
    <w:rsid w:val="00DA6614"/>
    <w:rsid w:val="00DA7C0A"/>
    <w:rsid w:val="00DE005D"/>
    <w:rsid w:val="00E11434"/>
    <w:rsid w:val="00E35717"/>
    <w:rsid w:val="00E47A6B"/>
    <w:rsid w:val="00E822BE"/>
    <w:rsid w:val="00EC4B5E"/>
    <w:rsid w:val="00EC509A"/>
    <w:rsid w:val="00F227DC"/>
    <w:rsid w:val="00FB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1EAEC"/>
  <w15:docId w15:val="{263344FA-79C6-E742-A102-1333C60F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9"/>
      <w:jc w:val="both"/>
    </w:pPr>
    <w:rPr>
      <w:rFonts w:ascii="Times New Roman" w:eastAsia="Times New Roman" w:hAnsi="Times New Roman" w:cs="Times New Roman"/>
      <w:color w:val="000000"/>
      <w:sz w:val="20"/>
      <w:lang w:bidi="en-US"/>
    </w:rPr>
  </w:style>
  <w:style w:type="paragraph" w:styleId="Heading1">
    <w:name w:val="heading 1"/>
    <w:next w:val="Normal"/>
    <w:link w:val="Heading1Char"/>
    <w:uiPriority w:val="9"/>
    <w:qFormat/>
    <w:pPr>
      <w:keepNext/>
      <w:keepLines/>
      <w:spacing w:after="0" w:line="259" w:lineRule="auto"/>
      <w:ind w:left="11"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ibliography">
    <w:name w:val="Bibliography"/>
    <w:basedOn w:val="Normal"/>
    <w:next w:val="Normal"/>
    <w:uiPriority w:val="37"/>
    <w:unhideWhenUsed/>
    <w:rsid w:val="004D42A5"/>
    <w:pPr>
      <w:tabs>
        <w:tab w:val="left" w:pos="260"/>
      </w:tabs>
      <w:spacing w:after="240" w:line="240" w:lineRule="auto"/>
      <w:ind w:left="264" w:hanging="264"/>
    </w:pPr>
  </w:style>
  <w:style w:type="paragraph" w:styleId="ListParagraph">
    <w:name w:val="List Paragraph"/>
    <w:basedOn w:val="Normal"/>
    <w:uiPriority w:val="34"/>
    <w:qFormat/>
    <w:rsid w:val="00EC509A"/>
    <w:pPr>
      <w:ind w:left="720"/>
      <w:contextualSpacing/>
    </w:pPr>
  </w:style>
  <w:style w:type="character" w:styleId="PlaceholderText">
    <w:name w:val="Placeholder Text"/>
    <w:basedOn w:val="DefaultParagraphFont"/>
    <w:uiPriority w:val="99"/>
    <w:semiHidden/>
    <w:rsid w:val="008F3625"/>
    <w:rPr>
      <w:color w:val="666666"/>
    </w:rPr>
  </w:style>
  <w:style w:type="character" w:customStyle="1" w:styleId="mord">
    <w:name w:val="mord"/>
    <w:basedOn w:val="DefaultParagraphFont"/>
    <w:rsid w:val="007652E0"/>
  </w:style>
  <w:style w:type="character" w:customStyle="1" w:styleId="mrel">
    <w:name w:val="mrel"/>
    <w:basedOn w:val="DefaultParagraphFont"/>
    <w:rsid w:val="007652E0"/>
  </w:style>
  <w:style w:type="character" w:customStyle="1" w:styleId="mbin">
    <w:name w:val="mbin"/>
    <w:basedOn w:val="DefaultParagraphFont"/>
    <w:rsid w:val="007652E0"/>
  </w:style>
  <w:style w:type="character" w:customStyle="1" w:styleId="delimsizing">
    <w:name w:val="delimsizing"/>
    <w:basedOn w:val="DefaultParagraphFont"/>
    <w:rsid w:val="007652E0"/>
  </w:style>
  <w:style w:type="character" w:customStyle="1" w:styleId="vlist-s">
    <w:name w:val="vlist-s"/>
    <w:basedOn w:val="DefaultParagraphFont"/>
    <w:rsid w:val="007652E0"/>
  </w:style>
  <w:style w:type="character" w:customStyle="1" w:styleId="mopen">
    <w:name w:val="mopen"/>
    <w:basedOn w:val="DefaultParagraphFont"/>
    <w:rsid w:val="007652E0"/>
  </w:style>
  <w:style w:type="character" w:customStyle="1" w:styleId="mclose">
    <w:name w:val="mclose"/>
    <w:basedOn w:val="DefaultParagraphFont"/>
    <w:rsid w:val="007652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DD318-76C3-9845-86AA-0621F5E60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2578</Words>
  <Characters>16888</Characters>
  <Application>Microsoft Office Word</Application>
  <DocSecurity>0</DocSecurity>
  <Lines>228</Lines>
  <Paragraphs>71</Paragraphs>
  <ScaleCrop>false</ScaleCrop>
  <HeadingPairs>
    <vt:vector size="2" baseType="variant">
      <vt:variant>
        <vt:lpstr>Title</vt:lpstr>
      </vt:variant>
      <vt:variant>
        <vt:i4>1</vt:i4>
      </vt:variant>
    </vt:vector>
  </HeadingPairs>
  <TitlesOfParts>
    <vt:vector size="1" baseType="lpstr">
      <vt:lpstr>The Title of the Article</vt:lpstr>
    </vt:vector>
  </TitlesOfParts>
  <Company/>
  <LinksUpToDate>false</LinksUpToDate>
  <CharactersWithSpaces>19395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Article</dc:title>
  <dc:subject/>
  <dc:creator>Jeff Williamson</dc:creator>
  <cp:keywords/>
  <dc:description/>
  <cp:lastModifiedBy>Pranav Manjunath</cp:lastModifiedBy>
  <cp:revision>20</cp:revision>
  <cp:lastPrinted>2026-03-09T15:55:00Z</cp:lastPrinted>
  <dcterms:created xsi:type="dcterms:W3CDTF">2026-03-09T15:55:00Z</dcterms:created>
  <dcterms:modified xsi:type="dcterms:W3CDTF">2026-03-10T18:18:00Z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id="DwBqXFlK"/&gt;&lt;style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