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Short-Term Physiological Adaptation during</w:t>
        <w:br/>
        <w:t>Environmental Transitions</w:t>
      </w:r>
    </w:p>
    <w:p>
      <w:pPr>
        <w:jc w:val="center"/>
      </w:pPr>
      <w:r>
        <w:rPr>
          <w:color w:val="555555"/>
          <w:sz w:val="20"/>
        </w:rPr>
        <w:t>Research Hypotheses  |  Brussels Field Experiment 2025  |  N = 17 (P2–P18)  |  07 May 2026</w:t>
      </w:r>
    </w:p>
    <w:p/>
    <w:p>
      <w:pPr>
        <w:jc w:val="both"/>
      </w:pPr>
      <w:r>
        <w:rPr>
          <w:color w:val="222222"/>
          <w:sz w:val="20"/>
        </w:rPr>
        <w:t>As participants move through heterogeneous urban environments — transitioning from shaded green corridors into open urban plazas, or from quiet park paths onto traffic-laden streets — they encounter abrupt changes in Mean Radiant Temperature (TMRT), air quality, noise, and airflow. This study investigates how these transient environmental exposures drive measurable physiological responses (electrodermal activity, heart rate, HRV, skin temperature) within 30–60 second windows, using a mobile environmental physiology pipeline that synchronises wearable sensors, backpack environmental loggers, and GPS at 10-second resolution. The five hypotheses below address the spatial, temporal, and individual dimensions of these ecological urban transitions.</w:t>
      </w:r>
    </w:p>
    <w:p/>
    <w:p>
      <w:pPr>
        <w:pStyle w:val="Heading1"/>
      </w:pPr>
      <w:r>
        <w:rPr>
          <w:color w:val="D45500"/>
        </w:rPr>
        <w:t>H1 — Transient Thermal Stress at Environmental Transitions</w:t>
      </w:r>
    </w:p>
    <w:p>
      <w:pPr>
        <w:shd w:val="clear" w:color="auto" w:fill="FFF3E0"/>
      </w:pPr>
      <w:r>
        <w:t>Abrupt transitions from thermally moderate environments (shaded green corridors, park canopy) into thermally intense urban settings (open plazas, sun-exposed streets) will produce measurable spikes in HR and EDA within 30–60 seconds of the transition, driven by sudden increases in UTCI and TMRT rather than by changes in physical activity load.</w:t>
      </w:r>
    </w:p>
    <w:p>
      <w:pPr>
        <w:pStyle w:val="ListBullet"/>
        <w:ind w:left="504"/>
      </w:pPr>
      <w:r>
        <w:rPr>
          <w:sz w:val="19"/>
        </w:rPr>
        <w:t>UTCI spikes &gt; 5°C at green→urban transition points will precede HR elevation by 30–60 s (1–6 bins)</w:t>
      </w:r>
    </w:p>
    <w:p>
      <w:pPr>
        <w:pStyle w:val="ListBullet"/>
        <w:ind w:left="504"/>
      </w:pPr>
      <w:r>
        <w:rPr>
          <w:sz w:val="19"/>
        </w:rPr>
        <w:t>EDA_phasic will show a distinct onset response within 2 bins of entering high-UTCI street segments</w:t>
      </w:r>
    </w:p>
    <w:p>
      <w:pPr>
        <w:pStyle w:val="ListBullet"/>
        <w:ind w:left="504"/>
      </w:pPr>
      <w:r>
        <w:rPr>
          <w:sz w:val="19"/>
        </w:rPr>
        <w:t>Effect persists after controlling for accelerometer |g| (metabolic load) and movement speed</w:t>
      </w:r>
    </w:p>
    <w:p>
      <w:pPr>
        <w:pStyle w:val="ListBullet"/>
        <w:ind w:left="504"/>
      </w:pPr>
      <w:r>
        <w:rPr>
          <w:sz w:val="19"/>
        </w:rPr>
        <w:t>Airflow asymmetry (|PM_left − PM_right|) as a proxy for wind/traffic direction modulates response magnitude</w:t>
      </w:r>
    </w:p>
    <w:p>
      <w:pPr>
        <w:ind w:left="432"/>
      </w:pPr>
      <w:r>
        <w:rPr>
          <w:b/>
          <w:sz w:val="19"/>
        </w:rPr>
        <w:t xml:space="preserve">Data: </w:t>
      </w:r>
      <w:r>
        <w:rPr>
          <w:sz w:val="19"/>
        </w:rPr>
        <w:t>UCM UTCI/TMRT, GPS transition points; Empatica HR, EDA_phasic, |g|; Atmotube directional PM</w:t>
      </w:r>
    </w:p>
    <w:p>
      <w:pPr>
        <w:ind w:left="432"/>
      </w:pPr>
      <w:r>
        <w:rPr>
          <w:b/>
          <w:sz w:val="19"/>
        </w:rPr>
        <w:t xml:space="preserve">Test: </w:t>
      </w:r>
      <w:r>
        <w:rPr>
          <w:sz w:val="19"/>
        </w:rPr>
        <w:t>Event-locked response analysis ±3 bins around transition; LME UTCI-spike × transition-type; CCF lag τ*</w:t>
      </w:r>
    </w:p>
    <w:p>
      <w:pPr>
        <w:ind w:left="432"/>
      </w:pPr>
      <w:r>
        <w:rPr>
          <w:i/>
          <w:color w:val="444444"/>
          <w:sz w:val="18"/>
        </w:rPr>
        <w:t>Keywords: transient environmental response, thermal stress dynamics, UTCI spikes, ecological urban sensing, segment extraction</w:t>
      </w:r>
    </w:p>
    <w:p/>
    <w:p>
      <w:pPr>
        <w:pStyle w:val="Heading1"/>
      </w:pPr>
      <w:r>
        <w:rPr>
          <w:color w:val="D45500"/>
        </w:rPr>
        <w:t>H2 — Spatial Physiological Mapping: Hotspots, Cooling Corridors &amp; Recovery Zones</w:t>
      </w:r>
    </w:p>
    <w:p>
      <w:pPr>
        <w:shd w:val="clear" w:color="auto" w:fill="FFF3E0"/>
      </w:pPr>
      <w:r>
        <w:t>Specific spatial segments on the urban and green routes will consistently produce elevated or suppressed physiological arousal (EDA, HR) across participants, creating identifiable physiological stress hotspots and physiological recovery corridors that are reproducible regardless of participant identity.</w:t>
      </w:r>
    </w:p>
    <w:p>
      <w:pPr>
        <w:pStyle w:val="ListBullet"/>
        <w:ind w:left="504"/>
      </w:pPr>
      <w:r>
        <w:rPr>
          <w:sz w:val="19"/>
        </w:rPr>
        <w:t>GPS-tagged 50 m spatial bins with mean EDA_phasic &gt; group+1 SD across ≥10 participants = confirmed hotspot</w:t>
      </w:r>
    </w:p>
    <w:p>
      <w:pPr>
        <w:pStyle w:val="ListBullet"/>
        <w:ind w:left="504"/>
      </w:pPr>
      <w:r>
        <w:rPr>
          <w:sz w:val="19"/>
        </w:rPr>
        <w:t>Cooling corridors: bins inside La Cambre park canopy showing EDA &lt; group mean and HR stabilisation</w:t>
      </w:r>
    </w:p>
    <w:p>
      <w:pPr>
        <w:pStyle w:val="ListBullet"/>
        <w:ind w:left="504"/>
      </w:pPr>
      <w:r>
        <w:rPr>
          <w:sz w:val="19"/>
        </w:rPr>
        <w:t>Urban plaza / intersection bins: highest TMRT, noise (dBA), PM2.5 co-located with physiological peaks</w:t>
      </w:r>
    </w:p>
    <w:p>
      <w:pPr>
        <w:pStyle w:val="ListBullet"/>
        <w:ind w:left="504"/>
      </w:pPr>
      <w:r>
        <w:rPr>
          <w:sz w:val="19"/>
        </w:rPr>
        <w:t>Recovery segments: EDA_phasic declining slope &gt; 0.05 µS/min after leaving hotspot zone</w:t>
      </w:r>
    </w:p>
    <w:p>
      <w:pPr>
        <w:ind w:left="432"/>
      </w:pPr>
      <w:r>
        <w:rPr>
          <w:b/>
          <w:sz w:val="19"/>
        </w:rPr>
        <w:t xml:space="preserve">Data: </w:t>
      </w:r>
      <w:r>
        <w:rPr>
          <w:sz w:val="19"/>
        </w:rPr>
        <w:t>UCM GPS + UTCI + dBA; Empatica EDA_phasic, HR; Atmotube PM2.5; all 17 participants spatially overlaid</w:t>
      </w:r>
    </w:p>
    <w:p>
      <w:pPr>
        <w:ind w:left="432"/>
      </w:pPr>
      <w:r>
        <w:rPr>
          <w:b/>
          <w:sz w:val="19"/>
        </w:rPr>
        <w:t xml:space="preserve">Test: </w:t>
      </w:r>
      <w:r>
        <w:rPr>
          <w:sz w:val="19"/>
        </w:rPr>
        <w:t>Spatial binning (~50 m); group mean per segment; hotspot threshold = mean+1SD; Pearson r segment EDA ~ UTCI, dBA, PM2.5</w:t>
      </w:r>
    </w:p>
    <w:p>
      <w:pPr>
        <w:ind w:left="432"/>
      </w:pPr>
      <w:r>
        <w:rPr>
          <w:i/>
          <w:color w:val="444444"/>
          <w:sz w:val="18"/>
        </w:rPr>
        <w:t>Keywords: spatial physiological mapping, stress hotspots, cooling corridors, physiological recovery, urban biometeorology, real-world environmental variability</w:t>
      </w:r>
    </w:p>
    <w:p/>
    <w:p>
      <w:pPr>
        <w:pStyle w:val="Heading1"/>
      </w:pPr>
      <w:r>
        <w:rPr>
          <w:color w:val="1A6B1A"/>
        </w:rPr>
        <w:t>H3 — Temporal Lag Adaptation: Physiological Response at 30–60 Second Intervals</w:t>
      </w:r>
    </w:p>
    <w:p>
      <w:pPr>
        <w:shd w:val="clear" w:color="auto" w:fill="E8F5E9"/>
      </w:pPr>
      <w:r>
        <w:t>Physiological signals (EDA, HR) will not respond instantaneously to environmental changes but will show a characteristic lag of 30–60 seconds (3–6 bins). Furthermore, sustained exposure within a phase will show progressive temporal adaptation (habituation), with an initial arousal spike followed by a declining trajectory — faster in Green environments than Urban.</w:t>
      </w:r>
    </w:p>
    <w:p>
      <w:pPr>
        <w:pStyle w:val="ListBullet"/>
        <w:ind w:left="504"/>
      </w:pPr>
      <w:r>
        <w:rPr>
          <w:sz w:val="19"/>
        </w:rPr>
        <w:t>Peak cross-correlation lag τ* between UTCI/noise and EDA_phasic: 30–60 s for thermal stimuli, 10–30 s for acoustic</w:t>
      </w:r>
    </w:p>
    <w:p>
      <w:pPr>
        <w:pStyle w:val="ListBullet"/>
        <w:ind w:left="504"/>
      </w:pPr>
      <w:r>
        <w:rPr>
          <w:sz w:val="19"/>
        </w:rPr>
        <w:t>EDA adaptation slope (linear regression on time-in-phase): steeper (faster habituation) in Green vs Urban</w:t>
      </w:r>
    </w:p>
    <w:p>
      <w:pPr>
        <w:pStyle w:val="ListBullet"/>
        <w:ind w:left="504"/>
      </w:pPr>
      <w:r>
        <w:rPr>
          <w:sz w:val="19"/>
        </w:rPr>
        <w:t>HR stabilises within 120 s in BikeG/WalkG; remains elevated &gt;180 s in BikeU/WalkU</w:t>
      </w:r>
    </w:p>
    <w:p>
      <w:pPr>
        <w:pStyle w:val="ListBullet"/>
        <w:ind w:left="504"/>
      </w:pPr>
      <w:r>
        <w:rPr>
          <w:sz w:val="19"/>
        </w:rPr>
        <w:t>Phase-onset response profile: spike (0–60 s) → adaptation (60–300 s) → steady state → offset recovery</w:t>
      </w:r>
    </w:p>
    <w:p>
      <w:pPr>
        <w:ind w:left="432"/>
      </w:pPr>
      <w:r>
        <w:rPr>
          <w:b/>
          <w:sz w:val="19"/>
        </w:rPr>
        <w:t xml:space="preserve">Data: </w:t>
      </w:r>
      <w:r>
        <w:rPr>
          <w:sz w:val="19"/>
        </w:rPr>
        <w:t>Empatica EDA_phasic, HR time-zeroed to phase start; UCM dBA, UTCI continuous 10-sec series</w:t>
      </w:r>
    </w:p>
    <w:p>
      <w:pPr>
        <w:ind w:left="432"/>
      </w:pPr>
      <w:r>
        <w:rPr>
          <w:b/>
          <w:sz w:val="19"/>
        </w:rPr>
        <w:t xml:space="preserve">Test: </w:t>
      </w:r>
      <w:r>
        <w:rPr>
          <w:sz w:val="19"/>
        </w:rPr>
        <w:t>CCF at lags 0–120 s; bootstrap τ* across participants; quadratic regression Y ~ a0 + a1·t + a2·t² per participant × phase</w:t>
      </w:r>
    </w:p>
    <w:p>
      <w:pPr>
        <w:ind w:left="432"/>
      </w:pPr>
      <w:r>
        <w:rPr>
          <w:i/>
          <w:color w:val="444444"/>
          <w:sz w:val="18"/>
        </w:rPr>
        <w:t>Keywords: temporal lag adaptation, 30–60 s response window, phase-onset response profile, transient environmental response analysis, habituation slope</w:t>
      </w:r>
    </w:p>
    <w:p/>
    <w:p>
      <w:pPr>
        <w:pStyle w:val="Heading1"/>
      </w:pPr>
      <w:r>
        <w:rPr>
          <w:color w:val="1A6B1A"/>
        </w:rPr>
        <w:t>H4 — Metabolic–Environmental Interaction: Movement Speed &amp; Exposure Duration Modulate Physiological Load</w:t>
      </w:r>
    </w:p>
    <w:p>
      <w:pPr>
        <w:shd w:val="clear" w:color="auto" w:fill="E8F5E9"/>
      </w:pPr>
      <w:r>
        <w:t>The physiological response to identical environmental stimuli (UTCI, PM2.5, noise) will be significantly modulated by the participant’s metabolic state at the moment of exposure — determined by movement speed, cycling cadence, and accumulated physical load. Slower movement through high-UTCI segments will produce greater cumulative thermal dose and stronger EDA/HR response than rapid transit through the same segment.</w:t>
      </w:r>
    </w:p>
    <w:p>
      <w:pPr>
        <w:pStyle w:val="ListBullet"/>
        <w:ind w:left="504"/>
      </w:pPr>
      <w:r>
        <w:rPr>
          <w:sz w:val="19"/>
        </w:rPr>
        <w:t>Cumulative thermal dose per segment = UTCI × dwell_time (s); predicts EDA_phasic above UTCI alone</w:t>
      </w:r>
    </w:p>
    <w:p>
      <w:pPr>
        <w:pStyle w:val="ListBullet"/>
        <w:ind w:left="504"/>
      </w:pPr>
      <w:r>
        <w:rPr>
          <w:sz w:val="19"/>
        </w:rPr>
        <w:t>Movement speed (GPS-derived from UCM or accelerometer |g|) negatively moderates UTCI → EDA path</w:t>
      </w:r>
    </w:p>
    <w:p>
      <w:pPr>
        <w:pStyle w:val="ListBullet"/>
        <w:ind w:left="504"/>
      </w:pPr>
      <w:r>
        <w:rPr>
          <w:sz w:val="19"/>
        </w:rPr>
        <w:t>Cycling (BikeU/BikeG) vs Walking (WalkU/WalkG) at same UTCI level: cyclists show lower EDA (shorter dwell time)</w:t>
      </w:r>
    </w:p>
    <w:p>
      <w:pPr>
        <w:pStyle w:val="ListBullet"/>
        <w:ind w:left="504"/>
      </w:pPr>
      <w:r>
        <w:rPr>
          <w:sz w:val="19"/>
        </w:rPr>
        <w:t>Airflow exposure proxy: higher speed → more convective cooling → lower TMRT effective dose</w:t>
      </w:r>
    </w:p>
    <w:p>
      <w:pPr>
        <w:ind w:left="432"/>
      </w:pPr>
      <w:r>
        <w:rPr>
          <w:b/>
          <w:sz w:val="19"/>
        </w:rPr>
        <w:t xml:space="preserve">Data: </w:t>
      </w:r>
      <w:r>
        <w:rPr>
          <w:sz w:val="19"/>
        </w:rPr>
        <w:t>UCM GPS (speed), UTCI, T_ext; Empatica |g|, EDA_phasic, HR, skin_temp; PhaseID (Bike vs Walk)</w:t>
      </w:r>
    </w:p>
    <w:p>
      <w:pPr>
        <w:ind w:left="432"/>
      </w:pPr>
      <w:r>
        <w:rPr>
          <w:b/>
          <w:sz w:val="19"/>
        </w:rPr>
        <w:t xml:space="preserve">Test: </w:t>
      </w:r>
      <w:r>
        <w:rPr>
          <w:sz w:val="19"/>
        </w:rPr>
        <w:t>Moderation LME: EDA ~ UTCI × speed + |g| + (1|PID); compare Bike vs Walk at matched UTCI levels</w:t>
      </w:r>
    </w:p>
    <w:p>
      <w:pPr>
        <w:ind w:left="432"/>
      </w:pPr>
      <w:r>
        <w:rPr>
          <w:i/>
          <w:color w:val="444444"/>
          <w:sz w:val="18"/>
        </w:rPr>
        <w:t>Keywords: metabolic load, airflow, exposure duration, movement speed, ecological urban exposure, mobile environmental physiology pipeline</w:t>
      </w:r>
    </w:p>
    <w:p/>
    <w:p>
      <w:pPr>
        <w:pStyle w:val="Heading1"/>
      </w:pPr>
      <w:r>
        <w:rPr>
          <w:color w:val="457B9D"/>
        </w:rPr>
        <w:t>H5 — Participant-Specific Physiological Stability in Heterogeneous Environments</w:t>
      </w:r>
    </w:p>
    <w:p>
      <w:pPr>
        <w:shd w:val="clear" w:color="auto" w:fill="E3F2FD"/>
      </w:pPr>
      <w:r>
        <w:t>Individual participants will show markedly different physiological stability profiles when exposed to the same heterogeneous urban environmental variability, and this inter-individual difference in stability will be predicted by fitness level, baseline STAI-trait anxiety, and psychophysiological concordance — operationalised as the correlation between self-reported comfort (PRS, STAI-state) and objective EDA/HR response.</w:t>
      </w:r>
    </w:p>
    <w:p>
      <w:pPr>
        <w:pStyle w:val="ListBullet"/>
        <w:ind w:left="504"/>
      </w:pPr>
      <w:r>
        <w:rPr>
          <w:sz w:val="19"/>
        </w:rPr>
        <w:t>Physiological stability index = CV (coefficient of variation) of EDA_phasic across the full experiment day per participant</w:t>
      </w:r>
    </w:p>
    <w:p>
      <w:pPr>
        <w:pStyle w:val="ListBullet"/>
        <w:ind w:left="504"/>
      </w:pPr>
      <w:r>
        <w:rPr>
          <w:sz w:val="19"/>
        </w:rPr>
        <w:t>Fit participants: lower CV, faster HR recovery after UTCI spikes; Not-Fit: higher CV, slower adaptation</w:t>
      </w:r>
    </w:p>
    <w:p>
      <w:pPr>
        <w:pStyle w:val="ListBullet"/>
        <w:ind w:left="504"/>
      </w:pPr>
      <w:r>
        <w:rPr>
          <w:sz w:val="19"/>
        </w:rPr>
        <w:t>High STAI-trait: elevated EDA baseline across all phases; weaker habituation in Urban phases</w:t>
      </w:r>
    </w:p>
    <w:p>
      <w:pPr>
        <w:pStyle w:val="ListBullet"/>
        <w:ind w:left="504"/>
      </w:pPr>
      <w:r>
        <w:rPr>
          <w:sz w:val="19"/>
        </w:rPr>
        <w:t>Psycho-physiological concordance (PRS ~ HRV RMSSD) stronger in Fit / Low-anxiety participants</w:t>
      </w:r>
    </w:p>
    <w:p>
      <w:pPr>
        <w:pStyle w:val="ListBullet"/>
        <w:ind w:left="504"/>
      </w:pPr>
      <w:r>
        <w:rPr>
          <w:sz w:val="19"/>
        </w:rPr>
        <w:t>Real-world realism: participants behaved naturally, moved dynamically, encountered realistic urban variability — stability index captures genuine ecological individual differences</w:t>
      </w:r>
    </w:p>
    <w:p>
      <w:pPr>
        <w:ind w:left="432"/>
      </w:pPr>
      <w:r>
        <w:rPr>
          <w:b/>
          <w:sz w:val="19"/>
        </w:rPr>
        <w:t xml:space="preserve">Data: </w:t>
      </w:r>
      <w:r>
        <w:rPr>
          <w:sz w:val="19"/>
        </w:rPr>
        <w:t>Empatica EDA_phasic CV across phases; HR recovery slope; STAI-state, STAI-trait, PRS per phase; demographics (fitness, BMI, age, sex)</w:t>
      </w:r>
    </w:p>
    <w:p>
      <w:pPr>
        <w:ind w:left="432"/>
      </w:pPr>
      <w:r>
        <w:rPr>
          <w:b/>
          <w:sz w:val="19"/>
        </w:rPr>
        <w:t xml:space="preserve">Test: </w:t>
      </w:r>
      <w:r>
        <w:rPr>
          <w:sz w:val="19"/>
        </w:rPr>
        <w:t>CV regression on fitness + STAI-trait + BMI; k-means (k=3) physiological stability clustering; Pearson r PRS ~ HRV RMSSD per subgroup</w:t>
      </w:r>
    </w:p>
    <w:p>
      <w:pPr>
        <w:ind w:left="432"/>
      </w:pPr>
      <w:r>
        <w:rPr>
          <w:i/>
          <w:color w:val="444444"/>
          <w:sz w:val="18"/>
        </w:rPr>
        <w:t>Keywords: participant-specific response differences, physiological stability, heterogeneous environment, environmental psychology, real-world ecological variability, variable sensing research</w:t>
      </w:r>
    </w:p>
    <w:p/>
    <w:p>
      <w:pPr>
        <w:pStyle w:val="Heading1"/>
      </w:pPr>
      <w:r>
        <w:t>Summary</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sz w:val="19"/>
              </w:rPr>
              <w:t>#</w:t>
            </w:r>
          </w:p>
        </w:tc>
        <w:tc>
          <w:tcPr>
            <w:tcW w:type="dxa" w:w="2196"/>
          </w:tcPr>
          <w:p>
            <w:r>
              <w:rPr>
                <w:b/>
                <w:sz w:val="19"/>
              </w:rPr>
              <w:t>Hypothesis</w:t>
            </w:r>
          </w:p>
        </w:tc>
        <w:tc>
          <w:tcPr>
            <w:tcW w:type="dxa" w:w="2196"/>
          </w:tcPr>
          <w:p>
            <w:r>
              <w:rPr>
                <w:b/>
                <w:sz w:val="19"/>
              </w:rPr>
              <w:t>Key Sensor Signals</w:t>
            </w:r>
          </w:p>
        </w:tc>
        <w:tc>
          <w:tcPr>
            <w:tcW w:type="dxa" w:w="2196"/>
          </w:tcPr>
          <w:p>
            <w:r>
              <w:rPr>
                <w:b/>
                <w:sz w:val="19"/>
              </w:rPr>
              <w:t>Analytical Approach</w:t>
            </w:r>
          </w:p>
        </w:tc>
      </w:tr>
      <w:tr>
        <w:tc>
          <w:tcPr>
            <w:tcW w:type="dxa" w:w="2196"/>
          </w:tcPr>
          <w:p>
            <w:r>
              <w:rPr>
                <w:sz w:val="18"/>
              </w:rPr>
              <w:t>H1</w:t>
            </w:r>
          </w:p>
        </w:tc>
        <w:tc>
          <w:tcPr>
            <w:tcW w:type="dxa" w:w="2196"/>
          </w:tcPr>
          <w:p>
            <w:r>
              <w:rPr>
                <w:sz w:val="18"/>
              </w:rPr>
              <w:t>Transient thermal stress at env. transitions</w:t>
            </w:r>
          </w:p>
        </w:tc>
        <w:tc>
          <w:tcPr>
            <w:tcW w:type="dxa" w:w="2196"/>
          </w:tcPr>
          <w:p>
            <w:r>
              <w:rPr>
                <w:sz w:val="18"/>
              </w:rPr>
              <w:t>UCM UTCI/TMRT, HR, EDA_phasic, |g|, GPS</w:t>
            </w:r>
          </w:p>
        </w:tc>
        <w:tc>
          <w:tcPr>
            <w:tcW w:type="dxa" w:w="2196"/>
          </w:tcPr>
          <w:p>
            <w:r>
              <w:rPr>
                <w:sz w:val="18"/>
              </w:rPr>
              <w:t>Event-locked CCF; LME UTCI×transition</w:t>
            </w:r>
          </w:p>
        </w:tc>
      </w:tr>
      <w:tr>
        <w:tc>
          <w:tcPr>
            <w:tcW w:type="dxa" w:w="2196"/>
          </w:tcPr>
          <w:p>
            <w:r>
              <w:rPr>
                <w:sz w:val="18"/>
              </w:rPr>
              <w:t>H2</w:t>
            </w:r>
          </w:p>
        </w:tc>
        <w:tc>
          <w:tcPr>
            <w:tcW w:type="dxa" w:w="2196"/>
          </w:tcPr>
          <w:p>
            <w:r>
              <w:rPr>
                <w:sz w:val="18"/>
              </w:rPr>
              <w:t>Spatial hotspots, cooling corridors &amp; recovery zones</w:t>
            </w:r>
          </w:p>
        </w:tc>
        <w:tc>
          <w:tcPr>
            <w:tcW w:type="dxa" w:w="2196"/>
          </w:tcPr>
          <w:p>
            <w:r>
              <w:rPr>
                <w:sz w:val="18"/>
              </w:rPr>
              <w:t>GPS-binned EDA_phasic, HR, PM2.5, dBA, UTCI</w:t>
            </w:r>
          </w:p>
        </w:tc>
        <w:tc>
          <w:tcPr>
            <w:tcW w:type="dxa" w:w="2196"/>
          </w:tcPr>
          <w:p>
            <w:r>
              <w:rPr>
                <w:sz w:val="18"/>
              </w:rPr>
              <w:t>Spatial binning; Pearson r per 50 m segment</w:t>
            </w:r>
          </w:p>
        </w:tc>
      </w:tr>
      <w:tr>
        <w:tc>
          <w:tcPr>
            <w:tcW w:type="dxa" w:w="2196"/>
          </w:tcPr>
          <w:p>
            <w:r>
              <w:rPr>
                <w:sz w:val="18"/>
              </w:rPr>
              <w:t>H3</w:t>
            </w:r>
          </w:p>
        </w:tc>
        <w:tc>
          <w:tcPr>
            <w:tcW w:type="dxa" w:w="2196"/>
          </w:tcPr>
          <w:p>
            <w:r>
              <w:rPr>
                <w:sz w:val="18"/>
              </w:rPr>
              <w:t>Temporal lag adaptation (30–60 s windows)</w:t>
            </w:r>
          </w:p>
        </w:tc>
        <w:tc>
          <w:tcPr>
            <w:tcW w:type="dxa" w:w="2196"/>
          </w:tcPr>
          <w:p>
            <w:r>
              <w:rPr>
                <w:sz w:val="18"/>
              </w:rPr>
              <w:t>EDA_phasic, HR time-series; UCM dBA, UTCI</w:t>
            </w:r>
          </w:p>
        </w:tc>
        <w:tc>
          <w:tcPr>
            <w:tcW w:type="dxa" w:w="2196"/>
          </w:tcPr>
          <w:p>
            <w:r>
              <w:rPr>
                <w:sz w:val="18"/>
              </w:rPr>
              <w:t>CCF bootstrap τ*; quadratic regression on t</w:t>
            </w:r>
          </w:p>
        </w:tc>
      </w:tr>
      <w:tr>
        <w:tc>
          <w:tcPr>
            <w:tcW w:type="dxa" w:w="2196"/>
          </w:tcPr>
          <w:p>
            <w:r>
              <w:rPr>
                <w:sz w:val="18"/>
              </w:rPr>
              <w:t>H4</w:t>
            </w:r>
          </w:p>
        </w:tc>
        <w:tc>
          <w:tcPr>
            <w:tcW w:type="dxa" w:w="2196"/>
          </w:tcPr>
          <w:p>
            <w:r>
              <w:rPr>
                <w:sz w:val="18"/>
              </w:rPr>
              <w:t>Metabolic–environmental interaction (speed × UTCI)</w:t>
            </w:r>
          </w:p>
        </w:tc>
        <w:tc>
          <w:tcPr>
            <w:tcW w:type="dxa" w:w="2196"/>
          </w:tcPr>
          <w:p>
            <w:r>
              <w:rPr>
                <w:sz w:val="18"/>
              </w:rPr>
              <w:t>GPS speed, UTCI, |g|, EDA_phasic, skin_temp</w:t>
            </w:r>
          </w:p>
        </w:tc>
        <w:tc>
          <w:tcPr>
            <w:tcW w:type="dxa" w:w="2196"/>
          </w:tcPr>
          <w:p>
            <w:r>
              <w:rPr>
                <w:sz w:val="18"/>
              </w:rPr>
              <w:t>Moderation LME: EDA ~ UTCI×speed + |g|</w:t>
            </w:r>
          </w:p>
        </w:tc>
      </w:tr>
      <w:tr>
        <w:tc>
          <w:tcPr>
            <w:tcW w:type="dxa" w:w="2196"/>
          </w:tcPr>
          <w:p>
            <w:r>
              <w:rPr>
                <w:sz w:val="18"/>
              </w:rPr>
              <w:t>H5</w:t>
            </w:r>
          </w:p>
        </w:tc>
        <w:tc>
          <w:tcPr>
            <w:tcW w:type="dxa" w:w="2196"/>
          </w:tcPr>
          <w:p>
            <w:r>
              <w:rPr>
                <w:sz w:val="18"/>
              </w:rPr>
              <w:t>Individual physiological stability (heterogeneous env.)</w:t>
            </w:r>
          </w:p>
        </w:tc>
        <w:tc>
          <w:tcPr>
            <w:tcW w:type="dxa" w:w="2196"/>
          </w:tcPr>
          <w:p>
            <w:r>
              <w:rPr>
                <w:sz w:val="18"/>
              </w:rPr>
              <w:t>EDA CV, HR recovery, PRS, STAI, HRV RMSSD</w:t>
            </w:r>
          </w:p>
        </w:tc>
        <w:tc>
          <w:tcPr>
            <w:tcW w:type="dxa" w:w="2196"/>
          </w:tcPr>
          <w:p>
            <w:r>
              <w:rPr>
                <w:sz w:val="18"/>
              </w:rPr>
              <w:t>CV regression; k-means clustering (k=3)</w:t>
            </w:r>
          </w:p>
        </w:tc>
      </w:tr>
    </w:tbl>
    <w:p/>
    <w:p>
      <w:r>
        <w:rPr>
          <w:b/>
          <w:sz w:val="17"/>
        </w:rPr>
        <w:t xml:space="preserve">Dataset: </w:t>
      </w:r>
      <w:r>
        <w:rPr>
          <w:color w:val="555555"/>
          <w:sz w:val="17"/>
        </w:rPr>
        <w:t>mergeddata_10sec.csv — 9,469 rows × 217 columns. Resolution: 10-second bins. Preprocessing framework: synchronised AVRO (Empatica) + UCM backpack + Atmotube + LYS + Neon eye tracker via shared UTC key.csv. Exclusions: P5, P6, P12, P16 from HR/HRV; EDA retained where coverage &gt;40%. Phase windows aligned Europe/Brussels (UTC+2). Bonferroni α = 0.005 (5-phase contrasts).</w:t>
      </w:r>
    </w:p>
    <w:p>
      <w:r>
        <w:br w:type="page"/>
      </w:r>
    </w:p>
    <w:p>
      <w:pPr>
        <w:pStyle w:val="Heading1"/>
      </w:pPr>
      <w:r>
        <w:rPr>
          <w:color w:val="1A1A2E"/>
        </w:rPr>
        <w:t>Analytical Framework: Segment-Level Linear Mixed Effects Model</w:t>
      </w:r>
    </w:p>
    <w:p>
      <w:pPr>
        <w:jc w:val="both"/>
      </w:pPr>
      <w:r>
        <w:rPr>
          <w:sz w:val="20"/>
        </w:rPr>
        <w:t>Rather than analysing whole-phase or whole-participant means, the primary analysis operates at the segment level — each 10-second bin being one observation. A Linear Mixed Effects (LME) model is used instead of repeated-measures ANOVA for a critical practical reason: if a participant failed to complete one phase or one spatial segment correctly (device disconnection, missing GPS, early exit), their data from all other segments is still fully included. The model uses every valid observation without requiring complete cases across all conditions.</w:t>
      </w:r>
    </w:p>
    <w:p/>
    <w:p>
      <w:pPr>
        <w:shd w:val="clear" w:color="auto" w:fill="EEF2FF"/>
      </w:pPr>
      <w:r>
        <w:rPr>
          <w:rFonts w:ascii="Courier New" w:hAnsi="Courier New"/>
          <w:sz w:val="18"/>
        </w:rPr>
        <w:t>Level-1 (observation):</w:t>
        <w:br/>
        <w:t xml:space="preserve">    Yᵢⱼₜ = β₀ + β₁·Environmentⱼ + β₂·Modeⱼ + β₃·|g|ᵢⱼₜ + β₄·Time_in_phaseᵢⱼₜ + β₅·UTCIᵢⱼₜ + uᵢ + εᵢⱼₜ</w:t>
        <w:br/>
        <w:br/>
        <w:t>Level-2 (participant random effect):</w:t>
        <w:br/>
        <w:t xml:space="preserve">    uᵢ ~ N(0, σ²_u)   [random intercept per participant]</w:t>
        <w:br/>
        <w:br/>
        <w:t>Where:</w:t>
        <w:br/>
        <w:t xml:space="preserve">    i = participant (P2–P18),  j = phase (BikeU, WalkU, BikeG, WalkG, Tram),  t = 10-sec bin</w:t>
        <w:br/>
        <w:t xml:space="preserve">    Y = EDA_phasic, HR, HRV RMSSD, skin_temp (one model per outcome)</w:t>
        <w:br/>
        <w:t xml:space="preserve">    Environment = Urban / Green / Tram (3-level factor)</w:t>
        <w:br/>
        <w:t xml:space="preserve">    Mode = Bike / Walk / Sit (3-level factor)</w:t>
        <w:br/>
        <w:t xml:space="preserve">    |g| = accelerometer vector magnitude (activity covariate)</w:t>
        <w:br/>
        <w:t xml:space="preserve">    UTCI = thermal comfort index from UCM backpack (continuous)</w:t>
        <w:br/>
        <w:t xml:space="preserve">    uᵢ = participant random intercept (absorbs between-person baseline differences)</w:t>
        <w:br/>
        <w:t xml:space="preserve">    εᵢⱼₜ = residual error</w:t>
      </w:r>
    </w:p>
    <w:p/>
    <w:p>
      <w:pPr>
        <w:pStyle w:val="Heading2"/>
      </w:pPr>
      <w:r>
        <w:rPr>
          <w:color w:val="D45500"/>
        </w:rPr>
        <w:t>Why Segment-Level Rather Than Participant-Level Means?</w:t>
      </w:r>
    </w:p>
    <w:p>
      <w:r>
        <w:t>Standard between-condition tests (paired t-test, repeated-measures ANOVA) require each participant to have a complete observation in every condition. Listwise deletion of participants with any missing phase would reduce the effective sample from N=17 to potentially N=9–12. The LME approach avoids this entirely:</w:t>
      </w:r>
    </w:p>
    <w:p>
      <w:pPr>
        <w:pStyle w:val="ListBullet"/>
        <w:ind w:left="504"/>
      </w:pPr>
      <w:r>
        <w:rPr>
          <w:sz w:val="19"/>
        </w:rPr>
        <w:t>Missing at Random (MAR): LME uses maximum likelihood estimation (REML), which is valid when data are MAR — i.e., missingness is related to observed covariates (e.g., device quality) but not to the unobserved outcome. Device disconnections and GPS failures are MAR by nature.</w:t>
      </w:r>
    </w:p>
    <w:p>
      <w:pPr>
        <w:pStyle w:val="ListBullet"/>
        <w:ind w:left="504"/>
      </w:pPr>
      <w:r>
        <w:rPr>
          <w:sz w:val="19"/>
        </w:rPr>
        <w:t>Segment inclusion: A participant who has valid data in 4 of 5 phases contributes 4/5 of their segments to the model. Their random intercept uᵢ is estimated from the phases they did complete, and that estimate informs the prediction for their missing phase.</w:t>
      </w:r>
    </w:p>
    <w:p>
      <w:pPr>
        <w:pStyle w:val="ListBullet"/>
        <w:ind w:left="504"/>
      </w:pPr>
      <w:r>
        <w:rPr>
          <w:sz w:val="19"/>
        </w:rPr>
        <w:t>Unbalanced design handled natively: Participants recorded different numbers of valid 10-sec bins per phase (e.g., P5 has very few HR bins due to device failure, but full EDA bins). LME uses all available rows per participant per outcome separately.</w:t>
      </w:r>
    </w:p>
    <w:p>
      <w:pPr>
        <w:pStyle w:val="ListBullet"/>
        <w:ind w:left="504"/>
      </w:pPr>
      <w:r>
        <w:rPr>
          <w:sz w:val="19"/>
        </w:rPr>
        <w:t>Temporal autocorrelation within phases is modelled by adding an AR(1) correlation structure on residuals within each participant × phase block, preventing inflation of Type I error from correlated 10-sec bins.</w:t>
      </w:r>
    </w:p>
    <w:p/>
    <w:p>
      <w:pPr>
        <w:pStyle w:val="Heading2"/>
      </w:pPr>
      <w:r>
        <w:rPr>
          <w:color w:val="D45500"/>
        </w:rPr>
        <w:t>Participant Grouping Within the Mixed Model</w:t>
      </w:r>
    </w:p>
    <w:p>
      <w:r>
        <w:t>Instead of treating all 17 participants as a homogeneous pool, the model includes group-level moderators as fixed effects. This allows the environment effect (β₁) to vary by subgroup without fitting a separate model per group:</w:t>
      </w:r>
    </w:p>
    <w:p>
      <w:pPr>
        <w:pStyle w:val="ListBullet"/>
        <w:ind w:left="504"/>
      </w:pPr>
      <w:r>
        <w:rPr>
          <w:sz w:val="19"/>
        </w:rPr>
        <w:t>Fitness group (Fit / Not Fit): interaction term Environment × Fitness tests whether the Urban–Green EDA gap differs by fitness level</w:t>
      </w:r>
    </w:p>
    <w:p>
      <w:pPr>
        <w:pStyle w:val="ListBullet"/>
        <w:ind w:left="504"/>
      </w:pPr>
      <w:r>
        <w:rPr>
          <w:sz w:val="19"/>
        </w:rPr>
        <w:t>Activity level (Active / Inactive): interaction tests whether habitual activity moderates HR adaptation slope</w:t>
      </w:r>
    </w:p>
    <w:p>
      <w:pPr>
        <w:pStyle w:val="ListBullet"/>
        <w:ind w:left="504"/>
      </w:pPr>
      <w:r>
        <w:rPr>
          <w:sz w:val="19"/>
        </w:rPr>
        <w:t>Sex (M/F): included as fixed effect covariate to control for known sex differences in EDA baseline</w:t>
      </w:r>
    </w:p>
    <w:p>
      <w:pPr>
        <w:pStyle w:val="ListBullet"/>
        <w:ind w:left="504"/>
      </w:pPr>
      <w:r>
        <w:rPr>
          <w:sz w:val="19"/>
        </w:rPr>
        <w:t>Segment completeness flag: a binary covariate (segment_complete = 0/1) can be added to test whether partial-phase data shows different patterns — a sensitivity check for partial-segment bias</w:t>
      </w:r>
    </w:p>
    <w:p/>
    <w:p>
      <w:pPr>
        <w:ind w:left="432"/>
      </w:pPr>
      <w:r>
        <w:rPr>
          <w:b/>
          <w:sz w:val="19"/>
        </w:rPr>
        <w:t xml:space="preserve">Model fitting: </w:t>
      </w:r>
      <w:r>
        <w:rPr>
          <w:sz w:val="19"/>
        </w:rPr>
        <w:t>Python statsmodels MixedLM or R lme4 (lmer). REML for variance components; ML for fixed-effect model comparison (AIC/BIC).</w:t>
      </w:r>
    </w:p>
    <w:p>
      <w:pPr>
        <w:ind w:left="432"/>
      </w:pPr>
      <w:r>
        <w:rPr>
          <w:b/>
          <w:sz w:val="19"/>
        </w:rPr>
        <w:t xml:space="preserve">Effect sizes: </w:t>
      </w:r>
      <w:r>
        <w:rPr>
          <w:sz w:val="19"/>
        </w:rPr>
        <w:t>Marginal R² (variance explained by fixed effects) and conditional R² (fixed + random) reported per model (Nakagawa &amp; Schielzeth 2013).</w:t>
      </w:r>
    </w:p>
    <w:p>
      <w:pPr>
        <w:ind w:left="432"/>
      </w:pPr>
      <w:r>
        <w:rPr>
          <w:b/>
          <w:sz w:val="19"/>
        </w:rPr>
        <w:t xml:space="preserve">Post-hoc contrasts: </w:t>
      </w:r>
      <w:r>
        <w:rPr>
          <w:sz w:val="19"/>
        </w:rPr>
        <w:t>Bonferroni-corrected pairwise contrasts across the 5 phases (α = 0.005). emmeans / marginaleffects package.</w:t>
      </w:r>
    </w:p>
    <w:p/>
    <w:p>
      <w:pPr>
        <w:shd w:val="clear" w:color="auto" w:fill="E8F5E9"/>
      </w:pPr>
      <w:r>
        <w:rPr>
          <w:sz w:val="19"/>
        </w:rPr>
        <w:t>✓  Scientific justification for LME over repeated-measures ANOVA in ecological mobility studies:</w:t>
        <w:br/>
        <w:br/>
        <w:t>1. Participant-level missingness does not discard all their data (Hedeker &amp; Gibbons 2006).</w:t>
        <w:br/>
        <w:t>2. Unequal bin counts per phase are handled without imputation (Pinheiro &amp; Bates 2000).</w:t>
        <w:br/>
        <w:t>3. Random intercepts capture stable between-person baseline differences (e.g., chronic high-EDA participants) so that within-person environment effects (β₁) are cleanly estimated.</w:t>
        <w:br/>
        <w:t>4. The model naturally scales to 9,469 rows × 17 participants without inflating degrees of freedom by treating each 10-sec bin as an independent observation (AR(1) residual structure corrects this).</w:t>
        <w:br/>
        <w:t>5. Identical framework used in comparable ecological physiology studies: Nieuwenhuis et al. (2010, J Neurosci Methods) and Roe et al. (2013, Landscape &amp; Urban Planning) both use LME for multi-session wearable physiological data with partial missingness.</w:t>
      </w:r>
    </w:p>
    <w:p/>
    <w:p>
      <w:pPr>
        <w:pStyle w:val="Heading2"/>
      </w:pPr>
      <w:r>
        <w:rPr>
          <w:color w:val="444444"/>
        </w:rPr>
        <w:t>Key References for Mixed Effects Approach</w:t>
      </w:r>
    </w:p>
    <w:p>
      <w:pPr>
        <w:ind w:left="432" w:hanging="432"/>
      </w:pPr>
      <w:r>
        <w:rPr>
          <w:color w:val="222222"/>
          <w:sz w:val="18"/>
        </w:rPr>
        <w:t>Bates, D., Mächler, M., Bolker, B., &amp; Walker, S. (2015). Fitting linear mixed-effects models using lme4. Journal of Statistical Software, 67(1), 1–48. [Primary LME implementation reference]</w:t>
      </w:r>
    </w:p>
    <w:p>
      <w:pPr>
        <w:ind w:left="432" w:hanging="432"/>
      </w:pPr>
      <w:r>
        <w:rPr>
          <w:color w:val="222222"/>
          <w:sz w:val="18"/>
        </w:rPr>
        <w:t>Pinheiro, J.C. &amp; Bates, D.M. (2000). Mixed-Effects Models in S and S-PLUS. Springer. [Theoretical foundation; REML estimation; unbalanced designs]</w:t>
      </w:r>
    </w:p>
    <w:p>
      <w:pPr>
        <w:ind w:left="432" w:hanging="432"/>
      </w:pPr>
      <w:r>
        <w:rPr>
          <w:color w:val="222222"/>
          <w:sz w:val="18"/>
        </w:rPr>
        <w:t>Hedeker, D. &amp; Gibbons, R.D. (2006). Longitudinal Data Analysis. Wiley. [Missing at Random (MAR) treatment in LME; partial missingness justification]</w:t>
      </w:r>
    </w:p>
    <w:p>
      <w:pPr>
        <w:ind w:left="432" w:hanging="432"/>
      </w:pPr>
      <w:r>
        <w:rPr>
          <w:color w:val="222222"/>
          <w:sz w:val="18"/>
        </w:rPr>
        <w:t>Nakagawa, S. &amp; Schielzeth, H. (2013). A general and simple method for obtaining R² from generalized linear mixed-effects models. Methods in Ecology and Evolution, 4(2), 133–142. [Marginal/conditional R² for LME]</w:t>
      </w:r>
    </w:p>
    <w:p>
      <w:pPr>
        <w:ind w:left="432" w:hanging="432"/>
      </w:pPr>
      <w:r>
        <w:rPr>
          <w:color w:val="222222"/>
          <w:sz w:val="18"/>
        </w:rPr>
        <w:t>Raudenbush, S.W. &amp; Bryk, A.S. (2002). Hierarchical Linear Models: Applications and Data Analysis Methods (2nd ed.). SAGE. [Participant-level random effects; group moderation within LME]</w:t>
      </w:r>
    </w:p>
    <w:p>
      <w:pPr>
        <w:ind w:left="432" w:hanging="432"/>
      </w:pPr>
      <w:r>
        <w:rPr>
          <w:color w:val="222222"/>
          <w:sz w:val="18"/>
        </w:rPr>
        <w:t>Nieuwenhuis, S., Forstmann, B.U., &amp; Wagenmakers, E.J. (2011). Erroneous analyses of interactions in neuroscience: a problem of significance. Nature Neuroscience, 14(9), 1105–1107. [Why interaction terms in LME, not separate group models]</w:t>
      </w:r>
    </w:p>
    <w:p>
      <w:pPr>
        <w:ind w:left="432" w:hanging="432"/>
      </w:pPr>
      <w:r>
        <w:rPr>
          <w:color w:val="222222"/>
          <w:sz w:val="18"/>
        </w:rPr>
        <w:t>Roe, J., Thompson, C., Aspinall, P., Brewer, M., Duff, E., Miller, D., Mitchell, R., &amp; Clow, A. (2013). Green space and stress: Evidence from cortisol measures in deprived urban communities. International Journal of Environmental Research and Public Health, 10(9), 4086–4103. [LME for ecological wearable physiology with missing participants]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