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1DB5D03F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2D81111" w14:textId="12AB3292" w:rsidR="006C4A6D" w:rsidRDefault="006C4A6D" w:rsidP="00E108E9">
            <w:pPr>
              <w:pStyle w:val="ECVPersonalInfoHeading"/>
              <w:jc w:val="left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613B93A" w14:textId="77777777" w:rsidR="006C4A6D" w:rsidRDefault="006C38BF">
            <w:pPr>
              <w:pStyle w:val="ECVNameField"/>
            </w:pPr>
            <w:r>
              <w:t>PRANAV SUDERSAN</w:t>
            </w:r>
          </w:p>
        </w:tc>
      </w:tr>
      <w:tr w:rsidR="006C4A6D" w14:paraId="7C046BFA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6302C31F" w14:textId="77777777" w:rsidR="006C4A6D" w:rsidRDefault="006C4A6D">
            <w:pPr>
              <w:pStyle w:val="ECVComments"/>
            </w:pPr>
          </w:p>
        </w:tc>
      </w:tr>
      <w:tr w:rsidR="006C4A6D" w14:paraId="1806750F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0AF4F5A" w14:textId="6DB1D85B" w:rsidR="006C4A6D" w:rsidRDefault="00B53154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AC6187D" wp14:editId="309A814B">
                  <wp:extent cx="872519" cy="979616"/>
                  <wp:effectExtent l="25400" t="25400" r="16510" b="36830"/>
                  <wp:docPr id="15" name="Picture 15" descr="../../Documents/Documents%20Scan/passport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Documents/Documents%20Scan/passport-phot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4" t="10495" r="12008" b="2091"/>
                          <a:stretch/>
                        </pic:blipFill>
                        <pic:spPr bwMode="auto">
                          <a:xfrm>
                            <a:off x="0" y="0"/>
                            <a:ext cx="916607" cy="1029116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70842182" w14:textId="73B0B7F8" w:rsidR="006C4A6D" w:rsidRDefault="006C38BF" w:rsidP="006C38B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 wp14:anchorId="2425C360" wp14:editId="73356B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>
              <w:t>Vaishakha-21, Gate#6, Anushaktinagar, Mumbai</w:t>
            </w:r>
            <w:r w:rsidR="007B0D46">
              <w:t xml:space="preserve"> </w:t>
            </w:r>
            <w:r>
              <w:t>-</w:t>
            </w:r>
            <w:r w:rsidR="007B0D46">
              <w:t xml:space="preserve"> </w:t>
            </w:r>
            <w:r>
              <w:t xml:space="preserve">400094, </w:t>
            </w:r>
            <w:r w:rsidR="007B0D46">
              <w:t xml:space="preserve">Maharashtra, </w:t>
            </w:r>
            <w:r>
              <w:t>India</w:t>
            </w:r>
            <w:r w:rsidR="006C4A6D">
              <w:t xml:space="preserve"> </w:t>
            </w:r>
          </w:p>
        </w:tc>
      </w:tr>
      <w:tr w:rsidR="006C4A6D" w14:paraId="0F304069" w14:textId="77777777" w:rsidTr="00B53154">
        <w:trPr>
          <w:cantSplit/>
          <w:trHeight w:val="229"/>
        </w:trPr>
        <w:tc>
          <w:tcPr>
            <w:tcW w:w="2834" w:type="dxa"/>
            <w:vMerge/>
            <w:shd w:val="clear" w:color="auto" w:fill="auto"/>
          </w:tcPr>
          <w:p w14:paraId="4AC58B9A" w14:textId="77777777" w:rsidR="006C4A6D" w:rsidRDefault="006C4A6D"/>
        </w:tc>
        <w:tc>
          <w:tcPr>
            <w:tcW w:w="7541" w:type="dxa"/>
            <w:shd w:val="clear" w:color="auto" w:fill="auto"/>
          </w:tcPr>
          <w:p w14:paraId="178973E8" w14:textId="415722B1" w:rsidR="006C4A6D" w:rsidRDefault="006C38BF" w:rsidP="000C4C71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E24EA11" wp14:editId="229F56D2">
                  <wp:extent cx="125730" cy="132715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32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0F0BF2">
              <w:t>(</w:t>
            </w:r>
            <w:r w:rsidR="000C4C71">
              <w:rPr>
                <w:rStyle w:val="ECVContactDetails"/>
              </w:rPr>
              <w:t>+91</w:t>
            </w:r>
            <w:r w:rsidR="000F0BF2">
              <w:rPr>
                <w:rStyle w:val="ECVContactDetails"/>
              </w:rPr>
              <w:t>)</w:t>
            </w:r>
            <w:r w:rsidR="000C4C71">
              <w:rPr>
                <w:rStyle w:val="ECVContactDetails"/>
              </w:rPr>
              <w:t xml:space="preserve"> 9066915706</w:t>
            </w:r>
            <w:r w:rsidR="006C4A6D">
              <w:rPr>
                <w:rStyle w:val="ECVContactDetails"/>
              </w:rPr>
              <w:t xml:space="preserve">    </w:t>
            </w:r>
            <w:r w:rsidR="006C4A6D">
              <w:t xml:space="preserve">   </w:t>
            </w:r>
          </w:p>
        </w:tc>
      </w:tr>
      <w:tr w:rsidR="006C4A6D" w14:paraId="6D9AE9D9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923A74E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77D626C9" w14:textId="2113D61C" w:rsidR="006C4A6D" w:rsidRDefault="006C38B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29346AB7" wp14:editId="05F695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hyperlink r:id="rId12" w:history="1">
              <w:r w:rsidR="003A191B" w:rsidRPr="00431699">
                <w:rPr>
                  <w:rStyle w:val="Hyperlink"/>
                </w:rPr>
                <w:t>pranavsudersan@gmail.com</w:t>
              </w:r>
            </w:hyperlink>
            <w:bookmarkStart w:id="0" w:name="_GoBack"/>
            <w:bookmarkEnd w:id="0"/>
          </w:p>
        </w:tc>
      </w:tr>
      <w:tr w:rsidR="006C4A6D" w14:paraId="51ACB30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77DF7DE" w14:textId="77777777" w:rsidR="006C4A6D" w:rsidRDefault="006C4A6D"/>
        </w:tc>
        <w:tc>
          <w:tcPr>
            <w:tcW w:w="7541" w:type="dxa"/>
            <w:shd w:val="clear" w:color="auto" w:fill="auto"/>
          </w:tcPr>
          <w:p w14:paraId="169AF4C4" w14:textId="3127DE72" w:rsidR="006C4A6D" w:rsidRDefault="000C4C71" w:rsidP="00B53154">
            <w:pPr>
              <w:pStyle w:val="ECVContactDetails0"/>
            </w:pPr>
            <w:r>
              <w:rPr>
                <w:rStyle w:val="ECVHeadingContactDetails"/>
              </w:rPr>
              <w:t>Skype</w:t>
            </w:r>
            <w:r w:rsidR="006C4A6D">
              <w:t xml:space="preserve"> </w:t>
            </w:r>
            <w:r w:rsidR="00B53154">
              <w:rPr>
                <w:rStyle w:val="ECVContactDetails"/>
                <w:rFonts w:eastAsia="ArialMT" w:cs="ArialMT"/>
              </w:rPr>
              <w:t>pranav.sudersan</w:t>
            </w:r>
            <w:r w:rsidR="006C4A6D">
              <w:rPr>
                <w:rStyle w:val="ECVContactDetails"/>
              </w:rPr>
              <w:t xml:space="preserve"> </w:t>
            </w:r>
            <w:r w:rsidR="006C38BF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 wp14:anchorId="11A81015" wp14:editId="2831F6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1905" b="0"/>
                  <wp:wrapSquare wrapText="bothSides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 w14:paraId="7513630F" w14:textId="77777777" w:rsidTr="004E2D0E">
        <w:trPr>
          <w:cantSplit/>
          <w:trHeight w:val="369"/>
        </w:trPr>
        <w:tc>
          <w:tcPr>
            <w:tcW w:w="2834" w:type="dxa"/>
            <w:vMerge/>
            <w:shd w:val="clear" w:color="auto" w:fill="auto"/>
          </w:tcPr>
          <w:p w14:paraId="695C2938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0FA62CDA" w14:textId="11A8DAC5" w:rsidR="006C4A6D" w:rsidRDefault="006C4A6D" w:rsidP="00B53154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B53154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B53154">
              <w:rPr>
                <w:rStyle w:val="ECVContactDetails"/>
              </w:rPr>
              <w:t>08/12</w:t>
            </w:r>
            <w:r>
              <w:rPr>
                <w:rStyle w:val="ECVContactDetails"/>
              </w:rPr>
              <w:t>/</w:t>
            </w:r>
            <w:r w:rsidR="00B53154">
              <w:rPr>
                <w:rStyle w:val="ECVContactDetails"/>
              </w:rPr>
              <w:t>1992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B53154">
              <w:rPr>
                <w:rStyle w:val="ECVContactDetails"/>
              </w:rPr>
              <w:t>Indian</w:t>
            </w:r>
            <w:r>
              <w:t xml:space="preserve"> </w:t>
            </w:r>
          </w:p>
        </w:tc>
      </w:tr>
    </w:tbl>
    <w:p w14:paraId="03CC3BAD" w14:textId="77777777" w:rsidR="006C4A6D" w:rsidRDefault="006C4A6D">
      <w:pPr>
        <w:pStyle w:val="ECVText"/>
      </w:pPr>
    </w:p>
    <w:p w14:paraId="2277FFB3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18310C73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0994214" w14:textId="38A3C1AE" w:rsidR="006C4A6D" w:rsidRDefault="00A879AE" w:rsidP="00E6211E">
            <w:pPr>
              <w:pStyle w:val="ECVLeftHeading"/>
              <w:jc w:val="left"/>
            </w:pPr>
            <w:r>
              <w:rPr>
                <w:caps w:val="0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288E11E" w14:textId="3CA351C1" w:rsidR="006C4A6D" w:rsidRDefault="006C38B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B151F40" wp14:editId="36678698">
                  <wp:extent cx="4788535" cy="90805"/>
                  <wp:effectExtent l="0" t="0" r="12065" b="1079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2CB7555F" w14:textId="55E7F41F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16"/>
        <w:gridCol w:w="26"/>
      </w:tblGrid>
      <w:tr w:rsidR="006C4A6D" w14:paraId="00B17895" w14:textId="77777777" w:rsidTr="00BA182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052DCD4" w14:textId="562059E8" w:rsidR="006C4A6D" w:rsidRDefault="00117E91">
            <w:pPr>
              <w:pStyle w:val="ECVDate"/>
            </w:pPr>
            <w:r>
              <w:t>2010</w:t>
            </w:r>
            <w:r w:rsidR="00A879AE">
              <w:t xml:space="preserve"> – </w:t>
            </w:r>
            <w:r>
              <w:t>2015</w:t>
            </w:r>
          </w:p>
        </w:tc>
        <w:tc>
          <w:tcPr>
            <w:tcW w:w="7516" w:type="dxa"/>
            <w:shd w:val="clear" w:color="auto" w:fill="auto"/>
          </w:tcPr>
          <w:p w14:paraId="42B39B91" w14:textId="77777777" w:rsidR="006C4A6D" w:rsidRDefault="0095026B" w:rsidP="0095026B">
            <w:pPr>
              <w:pStyle w:val="ECVSubSectionHeading"/>
            </w:pPr>
            <w:r>
              <w:t>Master of Technology &amp; Bachelor of Technology (Dual Degree)</w:t>
            </w:r>
          </w:p>
          <w:p w14:paraId="55EE7726" w14:textId="06B59021" w:rsidR="0095026B" w:rsidRPr="00BA182C" w:rsidRDefault="0095026B" w:rsidP="00BA182C">
            <w:pPr>
              <w:pStyle w:val="ECVOrganisationDetails"/>
              <w:rPr>
                <w:rFonts w:eastAsia="SimSun" w:cs="Mangal"/>
                <w:i/>
                <w:color w:val="0E4194"/>
                <w:sz w:val="21"/>
                <w:szCs w:val="21"/>
              </w:rPr>
            </w:pPr>
            <w:r w:rsidRPr="00BA182C">
              <w:rPr>
                <w:rFonts w:eastAsia="SimSun" w:cs="Mangal"/>
                <w:i/>
                <w:color w:val="0E4194"/>
                <w:sz w:val="21"/>
                <w:szCs w:val="21"/>
              </w:rPr>
              <w:t>Chemical Engineering</w:t>
            </w:r>
            <w:r w:rsidR="00BA182C" w:rsidRPr="00BA182C">
              <w:rPr>
                <w:rFonts w:eastAsia="SimSun" w:cs="Mangal"/>
                <w:i/>
                <w:color w:val="0E4194"/>
                <w:sz w:val="21"/>
                <w:szCs w:val="21"/>
              </w:rPr>
              <w:t xml:space="preserve">, Indian </w:t>
            </w:r>
            <w:r w:rsidR="00BA182C">
              <w:rPr>
                <w:rFonts w:eastAsia="SimSun" w:cs="Mangal"/>
                <w:i/>
                <w:color w:val="0E4194"/>
                <w:sz w:val="21"/>
                <w:szCs w:val="21"/>
              </w:rPr>
              <w:t xml:space="preserve">Institute of Technology (IIT) Bombay, </w:t>
            </w:r>
            <w:r w:rsidR="00BA182C" w:rsidRPr="00BA182C">
              <w:rPr>
                <w:rFonts w:eastAsia="SimSun" w:cs="Mangal"/>
                <w:i/>
                <w:color w:val="0E4194"/>
                <w:sz w:val="21"/>
                <w:szCs w:val="21"/>
              </w:rPr>
              <w:t>India</w:t>
            </w:r>
          </w:p>
        </w:tc>
        <w:tc>
          <w:tcPr>
            <w:tcW w:w="26" w:type="dxa"/>
            <w:shd w:val="clear" w:color="auto" w:fill="auto"/>
          </w:tcPr>
          <w:p w14:paraId="385DC73E" w14:textId="1527D521" w:rsidR="006C4A6D" w:rsidRDefault="006C4A6D">
            <w:pPr>
              <w:pStyle w:val="ECVRightHeading"/>
            </w:pPr>
          </w:p>
        </w:tc>
      </w:tr>
      <w:tr w:rsidR="006C4A6D" w14:paraId="33F6A4DC" w14:textId="77777777" w:rsidTr="00402565">
        <w:trPr>
          <w:cantSplit/>
        </w:trPr>
        <w:tc>
          <w:tcPr>
            <w:tcW w:w="2834" w:type="dxa"/>
            <w:vMerge/>
            <w:shd w:val="clear" w:color="auto" w:fill="auto"/>
          </w:tcPr>
          <w:p w14:paraId="336BA48D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43948672" w14:textId="66265369" w:rsidR="00402565" w:rsidRDefault="006833B8" w:rsidP="00D0020B">
            <w:pPr>
              <w:pStyle w:val="ECVOrganisationDetails"/>
            </w:pPr>
            <w:r>
              <w:t xml:space="preserve">Overall </w:t>
            </w:r>
            <w:r w:rsidR="00D0020B">
              <w:t>CGPA: 7.85</w:t>
            </w:r>
            <w:r w:rsidR="00AC3B80">
              <w:t>/10</w:t>
            </w:r>
            <w:r w:rsidR="00402565">
              <w:t xml:space="preserve">   Project CGPA: </w:t>
            </w:r>
            <w:r w:rsidR="00D058BF">
              <w:t>9.5</w:t>
            </w:r>
            <w:r w:rsidR="00AC3B80">
              <w:t>/10</w:t>
            </w:r>
            <w:r w:rsidR="00402565">
              <w:t xml:space="preserve"> </w:t>
            </w:r>
          </w:p>
        </w:tc>
      </w:tr>
      <w:tr w:rsidR="006C4A6D" w14:paraId="73511765" w14:textId="77777777" w:rsidTr="00402565">
        <w:trPr>
          <w:cantSplit/>
        </w:trPr>
        <w:tc>
          <w:tcPr>
            <w:tcW w:w="2834" w:type="dxa"/>
            <w:vMerge/>
            <w:shd w:val="clear" w:color="auto" w:fill="auto"/>
          </w:tcPr>
          <w:p w14:paraId="181F5B33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400F18DE" w14:textId="2226B2FC" w:rsidR="006C4A6D" w:rsidRPr="00BA182C" w:rsidRDefault="00223199" w:rsidP="00223199">
            <w:pPr>
              <w:pStyle w:val="ECVSectionBullet"/>
              <w:rPr>
                <w:b/>
              </w:rPr>
            </w:pPr>
            <w:r w:rsidRPr="004B24D1">
              <w:rPr>
                <w:i/>
                <w:u w:val="single"/>
              </w:rPr>
              <w:t>Master’s Thesis</w:t>
            </w:r>
            <w:r w:rsidRPr="004B24D1">
              <w:rPr>
                <w:u w:val="single"/>
              </w:rPr>
              <w:t>:</w:t>
            </w:r>
            <w:r>
              <w:t xml:space="preserve"> </w:t>
            </w:r>
            <w:r w:rsidRPr="00BA182C">
              <w:rPr>
                <w:b/>
                <w:sz w:val="19"/>
                <w:szCs w:val="19"/>
              </w:rPr>
              <w:t>Preparation and Characterization of Sugar-Oil</w:t>
            </w:r>
            <w:r w:rsidR="00BA182C" w:rsidRPr="00BA182C">
              <w:rPr>
                <w:b/>
                <w:sz w:val="19"/>
                <w:szCs w:val="19"/>
              </w:rPr>
              <w:t xml:space="preserve"> Microemulsion </w:t>
            </w:r>
            <w:r w:rsidRPr="00BA182C">
              <w:rPr>
                <w:b/>
                <w:sz w:val="19"/>
                <w:szCs w:val="19"/>
              </w:rPr>
              <w:t>Glasses</w:t>
            </w:r>
          </w:p>
          <w:p w14:paraId="05FA6DC0" w14:textId="7992C601" w:rsidR="00223199" w:rsidRDefault="00223199" w:rsidP="00223199">
            <w:pPr>
              <w:pStyle w:val="ECVSectionBullet"/>
            </w:pPr>
            <w:r w:rsidRPr="00BA182C">
              <w:rPr>
                <w:rFonts w:eastAsia="ArialMT" w:cs="ArialMT"/>
                <w:i/>
                <w:szCs w:val="18"/>
                <w:u w:val="single"/>
              </w:rPr>
              <w:t>Guide:</w:t>
            </w:r>
            <w:r w:rsidRPr="00BA182C">
              <w:rPr>
                <w:rFonts w:eastAsia="ArialMT" w:cs="ArialMT"/>
                <w:i/>
                <w:szCs w:val="18"/>
              </w:rPr>
              <w:t xml:space="preserve"> Prof. Jyoti </w:t>
            </w:r>
            <w:r w:rsidR="00BA182C">
              <w:rPr>
                <w:rFonts w:eastAsia="ArialMT" w:cs="ArialMT"/>
                <w:i/>
                <w:szCs w:val="18"/>
              </w:rPr>
              <w:t xml:space="preserve">R. </w:t>
            </w:r>
            <w:r w:rsidRPr="00BA182C">
              <w:rPr>
                <w:rFonts w:eastAsia="ArialMT" w:cs="ArialMT"/>
                <w:i/>
                <w:szCs w:val="18"/>
              </w:rPr>
              <w:t>Seth</w:t>
            </w:r>
          </w:p>
        </w:tc>
      </w:tr>
      <w:tr w:rsidR="00223199" w14:paraId="5B3578AF" w14:textId="77777777" w:rsidTr="00402565">
        <w:trPr>
          <w:cantSplit/>
        </w:trPr>
        <w:tc>
          <w:tcPr>
            <w:tcW w:w="2834" w:type="dxa"/>
            <w:shd w:val="clear" w:color="auto" w:fill="auto"/>
          </w:tcPr>
          <w:p w14:paraId="131A794C" w14:textId="77777777" w:rsidR="00223199" w:rsidRDefault="00223199"/>
        </w:tc>
        <w:tc>
          <w:tcPr>
            <w:tcW w:w="7542" w:type="dxa"/>
            <w:gridSpan w:val="2"/>
            <w:shd w:val="clear" w:color="auto" w:fill="auto"/>
          </w:tcPr>
          <w:p w14:paraId="79AC1F30" w14:textId="77777777" w:rsidR="00223199" w:rsidRDefault="00223199" w:rsidP="00223199">
            <w:pPr>
              <w:pStyle w:val="ECVSectionBullet"/>
            </w:pPr>
          </w:p>
        </w:tc>
      </w:tr>
    </w:tbl>
    <w:p w14:paraId="3B12090A" w14:textId="77777777" w:rsidR="006C4A6D" w:rsidRDefault="006C4A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C3B80" w14:paraId="619C76FD" w14:textId="77777777" w:rsidTr="003A066D">
        <w:trPr>
          <w:trHeight w:val="170"/>
        </w:trPr>
        <w:tc>
          <w:tcPr>
            <w:tcW w:w="2835" w:type="dxa"/>
            <w:shd w:val="clear" w:color="auto" w:fill="auto"/>
          </w:tcPr>
          <w:p w14:paraId="69EBA166" w14:textId="764CE6BD" w:rsidR="00AC3B80" w:rsidRDefault="00765248" w:rsidP="00E6211E">
            <w:pPr>
              <w:pStyle w:val="ECVLeftHeading"/>
              <w:jc w:val="left"/>
            </w:pPr>
            <w:r>
              <w:rPr>
                <w:caps w:val="0"/>
              </w:rPr>
              <w:t>CONFERENCES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F9BA884" w14:textId="77777777" w:rsidR="00AC3B80" w:rsidRDefault="00AC3B80" w:rsidP="003A066D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A8DBA1A" wp14:editId="3A294A64">
                  <wp:extent cx="4788535" cy="90805"/>
                  <wp:effectExtent l="0" t="0" r="12065" b="10795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3DD3FF6" w14:textId="77777777" w:rsidR="00AC3B80" w:rsidRDefault="00AC3B80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6"/>
      </w:tblGrid>
      <w:tr w:rsidR="00E6211E" w14:paraId="1F674477" w14:textId="77777777" w:rsidTr="008A6265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5F1E9FA3" w14:textId="27839950" w:rsidR="001A5B0A" w:rsidRDefault="001A5B0A" w:rsidP="00873805">
            <w:pPr>
              <w:pStyle w:val="ECVSectionBullet"/>
              <w:rPr>
                <w:b/>
              </w:rPr>
            </w:pPr>
          </w:p>
          <w:p w14:paraId="4C9C6961" w14:textId="1D2CF1C2" w:rsidR="009A386C" w:rsidRPr="009A386C" w:rsidRDefault="001462FB" w:rsidP="00765248">
            <w:pPr>
              <w:pStyle w:val="ECVSectionBullet"/>
              <w:numPr>
                <w:ilvl w:val="0"/>
                <w:numId w:val="6"/>
              </w:numPr>
              <w:rPr>
                <w:b/>
              </w:rPr>
            </w:pPr>
            <w:r w:rsidRPr="00765248">
              <w:rPr>
                <w:b/>
              </w:rPr>
              <w:t xml:space="preserve"> </w:t>
            </w:r>
            <w:r w:rsidR="00765248" w:rsidRPr="00765248">
              <w:rPr>
                <w:b/>
              </w:rPr>
              <w:t>“Unusual self-assembly behavio</w:t>
            </w:r>
            <w:r w:rsidR="00005872">
              <w:rPr>
                <w:b/>
              </w:rPr>
              <w:t>u</w:t>
            </w:r>
            <w:r w:rsidR="00765248" w:rsidRPr="00765248">
              <w:rPr>
                <w:b/>
              </w:rPr>
              <w:t>r of polyelectrolytes”</w:t>
            </w:r>
            <w:r w:rsidR="00765248">
              <w:t xml:space="preserve">; </w:t>
            </w:r>
            <w:r w:rsidR="009A386C">
              <w:rPr>
                <w:i/>
              </w:rPr>
              <w:t xml:space="preserve"> Oral conference presentation</w:t>
            </w:r>
          </w:p>
          <w:p w14:paraId="03A300ED" w14:textId="335218FB" w:rsidR="00765248" w:rsidRPr="009A386C" w:rsidRDefault="00765248" w:rsidP="009A386C">
            <w:pPr>
              <w:pStyle w:val="ECVSectionBullet"/>
              <w:ind w:left="1335"/>
              <w:rPr>
                <w:b/>
              </w:rPr>
            </w:pPr>
            <w:r>
              <w:rPr>
                <w:b/>
              </w:rPr>
              <w:t xml:space="preserve"> </w:t>
            </w:r>
            <w:r w:rsidRPr="0005454D">
              <w:rPr>
                <w:b/>
              </w:rPr>
              <w:t xml:space="preserve">Annual European Rheology Conference 2018, </w:t>
            </w:r>
            <w:r w:rsidR="003A191B">
              <w:rPr>
                <w:b/>
              </w:rPr>
              <w:t xml:space="preserve">Sorrento - </w:t>
            </w:r>
            <w:r w:rsidRPr="0005454D">
              <w:rPr>
                <w:b/>
              </w:rPr>
              <w:t>Italy</w:t>
            </w:r>
          </w:p>
        </w:tc>
      </w:tr>
    </w:tbl>
    <w:p w14:paraId="57BA3DD4" w14:textId="77777777" w:rsidR="006C4A6D" w:rsidRDefault="006C4A6D">
      <w:pPr>
        <w:pStyle w:val="ECVText"/>
      </w:pPr>
    </w:p>
    <w:p w14:paraId="46B49B9D" w14:textId="77777777" w:rsidR="00D02056" w:rsidRDefault="00D02056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4071C" w14:paraId="64921AB0" w14:textId="77777777" w:rsidTr="003A066D">
        <w:trPr>
          <w:trHeight w:val="170"/>
        </w:trPr>
        <w:tc>
          <w:tcPr>
            <w:tcW w:w="2835" w:type="dxa"/>
            <w:shd w:val="clear" w:color="auto" w:fill="auto"/>
          </w:tcPr>
          <w:p w14:paraId="76721F07" w14:textId="429BEB90" w:rsidR="0014071C" w:rsidRDefault="009F6756" w:rsidP="00E6211E">
            <w:pPr>
              <w:pStyle w:val="ECVLeftHeading"/>
              <w:jc w:val="left"/>
            </w:pPr>
            <w:r>
              <w:rPr>
                <w:caps w:val="0"/>
              </w:rPr>
              <w:t>RESEARCH</w:t>
            </w:r>
            <w:r w:rsidR="0014071C">
              <w:rPr>
                <w:caps w:val="0"/>
              </w:rPr>
              <w:t xml:space="preserve"> PROJECTS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31D42A3" w14:textId="77777777" w:rsidR="0014071C" w:rsidRDefault="0014071C" w:rsidP="003A066D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7F23F20" wp14:editId="536C8A43">
                  <wp:extent cx="4788535" cy="90805"/>
                  <wp:effectExtent l="0" t="0" r="12065" b="10795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416C9F9" w14:textId="77777777" w:rsidR="0014071C" w:rsidRDefault="0014071C" w:rsidP="0014071C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105A9" w14:paraId="673B2BDE" w14:textId="77777777" w:rsidTr="00A04F63">
        <w:trPr>
          <w:cantSplit/>
          <w:trHeight w:val="202"/>
        </w:trPr>
        <w:tc>
          <w:tcPr>
            <w:tcW w:w="2834" w:type="dxa"/>
            <w:vMerge w:val="restart"/>
            <w:shd w:val="clear" w:color="auto" w:fill="auto"/>
          </w:tcPr>
          <w:p w14:paraId="61C2150F" w14:textId="356B2631" w:rsidR="004105A9" w:rsidRDefault="004105A9" w:rsidP="004105A9">
            <w:pPr>
              <w:pStyle w:val="ECVDate"/>
            </w:pPr>
            <w:r>
              <w:t>Aug’18</w:t>
            </w:r>
            <w:r>
              <w:t xml:space="preserve"> – </w:t>
            </w:r>
            <w:r>
              <w:t>Nov’18</w:t>
            </w:r>
          </w:p>
        </w:tc>
        <w:tc>
          <w:tcPr>
            <w:tcW w:w="7541" w:type="dxa"/>
            <w:shd w:val="clear" w:color="auto" w:fill="auto"/>
          </w:tcPr>
          <w:p w14:paraId="6DAED556" w14:textId="535551C3" w:rsidR="004105A9" w:rsidRDefault="004105A9" w:rsidP="00A04F63">
            <w:pPr>
              <w:pStyle w:val="ECVSubSectionHeading"/>
            </w:pPr>
            <w:r>
              <w:t>Dynamics of Interfacial Tension between Oil and Aqueous Solutions</w:t>
            </w:r>
          </w:p>
        </w:tc>
      </w:tr>
      <w:tr w:rsidR="004105A9" w14:paraId="1E444936" w14:textId="77777777" w:rsidTr="00A04F63">
        <w:trPr>
          <w:cantSplit/>
          <w:trHeight w:val="259"/>
        </w:trPr>
        <w:tc>
          <w:tcPr>
            <w:tcW w:w="2834" w:type="dxa"/>
            <w:vMerge/>
            <w:shd w:val="clear" w:color="auto" w:fill="auto"/>
          </w:tcPr>
          <w:p w14:paraId="640EC594" w14:textId="77777777" w:rsidR="004105A9" w:rsidRDefault="004105A9" w:rsidP="00A04F63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25BEA81E" w14:textId="50D44DAE" w:rsidR="004105A9" w:rsidRDefault="004105A9" w:rsidP="004105A9">
            <w:pPr>
              <w:pStyle w:val="ECVSubSectionHeading"/>
            </w:pPr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Guide: Prof. </w:t>
            </w:r>
            <w:r>
              <w:rPr>
                <w:rFonts w:eastAsia="ArialMT" w:cs="ArialMT"/>
                <w:i/>
                <w:color w:val="3F3A38"/>
                <w:sz w:val="18"/>
                <w:szCs w:val="18"/>
              </w:rPr>
              <w:t>S. S. Bhagwat, ICT Mumbai</w:t>
            </w:r>
          </w:p>
        </w:tc>
      </w:tr>
      <w:tr w:rsidR="004105A9" w14:paraId="65EB2A22" w14:textId="77777777" w:rsidTr="000E47DC">
        <w:trPr>
          <w:cantSplit/>
          <w:trHeight w:val="1013"/>
        </w:trPr>
        <w:tc>
          <w:tcPr>
            <w:tcW w:w="2834" w:type="dxa"/>
            <w:vMerge/>
            <w:shd w:val="clear" w:color="auto" w:fill="auto"/>
          </w:tcPr>
          <w:p w14:paraId="3CB96CF1" w14:textId="77777777" w:rsidR="004105A9" w:rsidRDefault="004105A9" w:rsidP="00A04F63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6543679F" w14:textId="7C68E2E9" w:rsidR="004105A9" w:rsidRDefault="004105A9" w:rsidP="004105A9">
            <w:pPr>
              <w:pStyle w:val="ECVSectionBullet"/>
              <w:numPr>
                <w:ilvl w:val="0"/>
                <w:numId w:val="2"/>
              </w:numPr>
              <w:jc w:val="both"/>
            </w:pPr>
            <w:r>
              <w:t xml:space="preserve">Soap solutions show a dynamic change in interfacial tension with water. This is a result of adsorption dynamics of surfactant to oil-water interface. Dynamic interfacial tension was measured using Drop Volume Method. A setup was prepared for measurement of various soap formulations. The dynamic behaviour was characterized using Rosen’s model and was used to </w:t>
            </w:r>
            <w:r w:rsidR="000E47DC">
              <w:t>assess soap performance.</w:t>
            </w:r>
          </w:p>
        </w:tc>
      </w:tr>
      <w:tr w:rsidR="00E3190B" w14:paraId="234AE3DD" w14:textId="77777777" w:rsidTr="007E1EA5">
        <w:trPr>
          <w:cantSplit/>
          <w:trHeight w:val="202"/>
        </w:trPr>
        <w:tc>
          <w:tcPr>
            <w:tcW w:w="2834" w:type="dxa"/>
            <w:vMerge w:val="restart"/>
            <w:shd w:val="clear" w:color="auto" w:fill="auto"/>
          </w:tcPr>
          <w:p w14:paraId="6AD30B81" w14:textId="5E37FBAF" w:rsidR="00E3190B" w:rsidRDefault="00E3190B" w:rsidP="004105A9">
            <w:pPr>
              <w:pStyle w:val="ECVDate"/>
            </w:pPr>
            <w:r>
              <w:t xml:space="preserve">Apr’17 – </w:t>
            </w:r>
            <w:r w:rsidR="004105A9">
              <w:t>July’18</w:t>
            </w:r>
          </w:p>
        </w:tc>
        <w:tc>
          <w:tcPr>
            <w:tcW w:w="7541" w:type="dxa"/>
            <w:shd w:val="clear" w:color="auto" w:fill="auto"/>
          </w:tcPr>
          <w:p w14:paraId="3D6D405C" w14:textId="52BB5BF1" w:rsidR="00E3190B" w:rsidRDefault="008E4DB8" w:rsidP="007E1EA5">
            <w:pPr>
              <w:pStyle w:val="ECVSubSectionHeading"/>
            </w:pPr>
            <w:r>
              <w:t xml:space="preserve">Unusual </w:t>
            </w:r>
            <w:r w:rsidR="00E3190B">
              <w:t>Self-Assembly of Polyelectrolytes</w:t>
            </w:r>
          </w:p>
        </w:tc>
      </w:tr>
      <w:tr w:rsidR="00E3190B" w14:paraId="022D8C25" w14:textId="77777777" w:rsidTr="009E2DDD">
        <w:trPr>
          <w:cantSplit/>
          <w:trHeight w:val="259"/>
        </w:trPr>
        <w:tc>
          <w:tcPr>
            <w:tcW w:w="2834" w:type="dxa"/>
            <w:vMerge/>
            <w:shd w:val="clear" w:color="auto" w:fill="auto"/>
          </w:tcPr>
          <w:p w14:paraId="575ED18B" w14:textId="77777777" w:rsidR="00E3190B" w:rsidRDefault="00E3190B" w:rsidP="007E1EA5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6B99B123" w14:textId="33836A95" w:rsidR="00E3190B" w:rsidRDefault="00E3190B" w:rsidP="009E2DDD">
            <w:pPr>
              <w:pStyle w:val="ECVSubSectionHeading"/>
            </w:pPr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>Guide: Prof. Kamendra Sharma, Prof. Jyoti R. Seth, IIT Bombay</w:t>
            </w:r>
          </w:p>
        </w:tc>
      </w:tr>
      <w:tr w:rsidR="00E3190B" w14:paraId="02B84AE2" w14:textId="77777777" w:rsidTr="007E1EA5">
        <w:trPr>
          <w:cantSplit/>
          <w:trHeight w:val="1296"/>
        </w:trPr>
        <w:tc>
          <w:tcPr>
            <w:tcW w:w="2834" w:type="dxa"/>
            <w:vMerge/>
            <w:shd w:val="clear" w:color="auto" w:fill="auto"/>
          </w:tcPr>
          <w:p w14:paraId="0F9FB00A" w14:textId="77777777" w:rsidR="00E3190B" w:rsidRDefault="00E3190B" w:rsidP="007E1EA5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3DC6598F" w14:textId="49210B7A" w:rsidR="00E3190B" w:rsidRDefault="005B3FE7" w:rsidP="007E1EA5">
            <w:pPr>
              <w:pStyle w:val="ECVSectionBullet"/>
              <w:numPr>
                <w:ilvl w:val="0"/>
                <w:numId w:val="2"/>
              </w:numPr>
              <w:jc w:val="both"/>
            </w:pPr>
            <w:r>
              <w:t xml:space="preserve">Polyelectrolytes in dilute and low pH regime are observed to self-assemble into fibril structures. This </w:t>
            </w:r>
            <w:r w:rsidR="007E1EA5">
              <w:t xml:space="preserve">unusual </w:t>
            </w:r>
            <w:r>
              <w:t>like-charged attraction between chains controlling self-assembly is investigated theoretically by Poisson-Boltzman and Manning’s condensation theories. A model based on mean-field approach is developed</w:t>
            </w:r>
            <w:r w:rsidR="007C566D">
              <w:t xml:space="preserve"> in MATLAB</w:t>
            </w:r>
            <w:r>
              <w:t xml:space="preserve"> to construct phase diagrams of </w:t>
            </w:r>
            <w:r w:rsidR="007C566D">
              <w:t>polyelectrolyte</w:t>
            </w:r>
            <w:r>
              <w:t xml:space="preserve"> </w:t>
            </w:r>
            <w:r w:rsidR="009E2DDD">
              <w:t>solution</w:t>
            </w:r>
            <w:r>
              <w:t xml:space="preserve"> system. Regions of lamellar, spherical and cylindrical aggregate structures are identified for a range of model parameters. </w:t>
            </w:r>
          </w:p>
          <w:p w14:paraId="7C3119D0" w14:textId="4D1C5FDE" w:rsidR="00DC1E76" w:rsidRDefault="00DC1E76" w:rsidP="00DC1E76">
            <w:pPr>
              <w:pStyle w:val="ECVSectionBullet"/>
              <w:ind w:left="113"/>
              <w:jc w:val="both"/>
            </w:pPr>
          </w:p>
        </w:tc>
      </w:tr>
      <w:tr w:rsidR="0014071C" w14:paraId="4AF95034" w14:textId="77777777" w:rsidTr="007E1E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94F2EDA" w14:textId="1334F521" w:rsidR="0014071C" w:rsidRDefault="0014071C" w:rsidP="004105A9">
            <w:pPr>
              <w:pStyle w:val="ECVDate"/>
            </w:pPr>
            <w:r>
              <w:t xml:space="preserve"> Oct’16 </w:t>
            </w:r>
            <w:r w:rsidR="004105A9">
              <w:t>–</w:t>
            </w:r>
            <w:r>
              <w:t xml:space="preserve"> </w:t>
            </w:r>
            <w:r w:rsidR="004105A9">
              <w:t>July’18</w:t>
            </w:r>
          </w:p>
        </w:tc>
        <w:tc>
          <w:tcPr>
            <w:tcW w:w="7541" w:type="dxa"/>
            <w:shd w:val="clear" w:color="auto" w:fill="auto"/>
          </w:tcPr>
          <w:p w14:paraId="3DC5090F" w14:textId="03B47764" w:rsidR="0014071C" w:rsidRDefault="000A6D36" w:rsidP="007E1EA5">
            <w:pPr>
              <w:pStyle w:val="ECVSubSectionHeading"/>
            </w:pPr>
            <w:r>
              <w:t>Synthesis</w:t>
            </w:r>
            <w:r w:rsidR="002F6D48">
              <w:t xml:space="preserve"> of Interpenetrating Polymer Network (IPN)</w:t>
            </w:r>
          </w:p>
        </w:tc>
      </w:tr>
      <w:tr w:rsidR="0014071C" w14:paraId="61A8FCEC" w14:textId="77777777" w:rsidTr="007E1EA5">
        <w:trPr>
          <w:cantSplit/>
        </w:trPr>
        <w:tc>
          <w:tcPr>
            <w:tcW w:w="2834" w:type="dxa"/>
            <w:vMerge/>
            <w:shd w:val="clear" w:color="auto" w:fill="auto"/>
          </w:tcPr>
          <w:p w14:paraId="5986A6DE" w14:textId="77777777" w:rsidR="0014071C" w:rsidRDefault="0014071C" w:rsidP="007E1EA5"/>
        </w:tc>
        <w:tc>
          <w:tcPr>
            <w:tcW w:w="7541" w:type="dxa"/>
            <w:shd w:val="clear" w:color="auto" w:fill="auto"/>
          </w:tcPr>
          <w:p w14:paraId="1DBC7388" w14:textId="6A1331C9" w:rsidR="0014071C" w:rsidRPr="002F6D48" w:rsidRDefault="002F6D48" w:rsidP="007E1EA5">
            <w:pPr>
              <w:pStyle w:val="ECVOrganisationDetails"/>
              <w:rPr>
                <w:i/>
              </w:rPr>
            </w:pPr>
            <w:r w:rsidRPr="002F6D48">
              <w:rPr>
                <w:i/>
              </w:rPr>
              <w:t xml:space="preserve">Guide: Prof. Jyoti </w:t>
            </w:r>
            <w:r w:rsidR="00BA182C">
              <w:rPr>
                <w:i/>
              </w:rPr>
              <w:t xml:space="preserve">R. </w:t>
            </w:r>
            <w:r w:rsidRPr="002F6D48">
              <w:rPr>
                <w:i/>
              </w:rPr>
              <w:t>Seth, IIT Bombay</w:t>
            </w:r>
          </w:p>
        </w:tc>
      </w:tr>
      <w:tr w:rsidR="0014071C" w14:paraId="2BFE4070" w14:textId="77777777" w:rsidTr="000E47DC">
        <w:trPr>
          <w:cantSplit/>
          <w:trHeight w:val="1193"/>
        </w:trPr>
        <w:tc>
          <w:tcPr>
            <w:tcW w:w="2834" w:type="dxa"/>
            <w:vMerge/>
            <w:shd w:val="clear" w:color="auto" w:fill="auto"/>
          </w:tcPr>
          <w:p w14:paraId="2AFBE5BE" w14:textId="77777777" w:rsidR="0014071C" w:rsidRDefault="0014071C" w:rsidP="007E1EA5"/>
        </w:tc>
        <w:tc>
          <w:tcPr>
            <w:tcW w:w="7541" w:type="dxa"/>
            <w:shd w:val="clear" w:color="auto" w:fill="auto"/>
          </w:tcPr>
          <w:p w14:paraId="44A65B2F" w14:textId="04726E2F" w:rsidR="00163652" w:rsidRDefault="00C90EBD" w:rsidP="00163652">
            <w:pPr>
              <w:pStyle w:val="ECVSectionBullet"/>
              <w:numPr>
                <w:ilvl w:val="0"/>
                <w:numId w:val="2"/>
              </w:numPr>
            </w:pPr>
            <w:r>
              <w:t xml:space="preserve">A novel method was developed to synthesize IPN using sugar microemulsion as a template. </w:t>
            </w:r>
            <w:r w:rsidR="0022757E">
              <w:t xml:space="preserve">Unlike conventional methods, the devised method is universal in nature which can </w:t>
            </w:r>
            <w:r w:rsidR="003E13BE">
              <w:t xml:space="preserve">be </w:t>
            </w:r>
            <w:r w:rsidR="0022757E">
              <w:t xml:space="preserve">applied for any combination of polymer pairs with </w:t>
            </w:r>
            <w:r>
              <w:t>a wide</w:t>
            </w:r>
            <w:r w:rsidR="0022757E">
              <w:t xml:space="preserve">r composition range. The bicontinuous domain size of the IPN nanostructure can also be controlled. </w:t>
            </w:r>
            <w:r w:rsidR="00163652">
              <w:t>The dual polymer nano-domains were characterized by analysing SEM/EDS elemental mapping with ImageJ. The method is currently being patented.</w:t>
            </w:r>
          </w:p>
          <w:p w14:paraId="1CA9751B" w14:textId="3B3FE6B0" w:rsidR="0076727C" w:rsidRDefault="0076727C" w:rsidP="007E1EA5">
            <w:pPr>
              <w:pStyle w:val="ECVSectionBullet"/>
            </w:pPr>
          </w:p>
        </w:tc>
      </w:tr>
      <w:tr w:rsidR="00BE0B3D" w14:paraId="0A0F7008" w14:textId="77777777" w:rsidTr="007E1E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CC10C1A" w14:textId="2899503F" w:rsidR="00BE0B3D" w:rsidRDefault="00E02A68" w:rsidP="007E1EA5">
            <w:pPr>
              <w:pStyle w:val="ECVDate"/>
            </w:pPr>
            <w:r>
              <w:t>Jan’14</w:t>
            </w:r>
            <w:r w:rsidR="00BE0B3D">
              <w:t xml:space="preserve"> </w:t>
            </w:r>
            <w:r w:rsidR="00D84BF4">
              <w:t>–</w:t>
            </w:r>
            <w:r w:rsidR="00BE0B3D">
              <w:t xml:space="preserve"> </w:t>
            </w:r>
            <w:r w:rsidR="00D84BF4">
              <w:t>Jul’15</w:t>
            </w:r>
          </w:p>
        </w:tc>
        <w:tc>
          <w:tcPr>
            <w:tcW w:w="7541" w:type="dxa"/>
            <w:shd w:val="clear" w:color="auto" w:fill="auto"/>
          </w:tcPr>
          <w:p w14:paraId="04FA1BF6" w14:textId="60DA2A08" w:rsidR="00BE0B3D" w:rsidRDefault="00BE0B3D" w:rsidP="007E1EA5">
            <w:pPr>
              <w:pStyle w:val="ECVSubSectionHeading"/>
            </w:pPr>
            <w:r>
              <w:t xml:space="preserve">Preparation </w:t>
            </w:r>
            <w:r w:rsidR="00E02A68">
              <w:t xml:space="preserve">and Characterization of Sugar-Oil </w:t>
            </w:r>
            <w:r w:rsidR="0022757E">
              <w:t xml:space="preserve">Microemulsion </w:t>
            </w:r>
            <w:r w:rsidR="00E02A68">
              <w:t>Glass</w:t>
            </w:r>
          </w:p>
        </w:tc>
      </w:tr>
      <w:tr w:rsidR="00BE0B3D" w:rsidRPr="002F6D48" w14:paraId="72C6869D" w14:textId="77777777" w:rsidTr="007E1EA5">
        <w:trPr>
          <w:cantSplit/>
        </w:trPr>
        <w:tc>
          <w:tcPr>
            <w:tcW w:w="2834" w:type="dxa"/>
            <w:vMerge/>
            <w:shd w:val="clear" w:color="auto" w:fill="auto"/>
          </w:tcPr>
          <w:p w14:paraId="0D499736" w14:textId="77777777" w:rsidR="00BE0B3D" w:rsidRDefault="00BE0B3D" w:rsidP="007E1EA5"/>
        </w:tc>
        <w:tc>
          <w:tcPr>
            <w:tcW w:w="7541" w:type="dxa"/>
            <w:shd w:val="clear" w:color="auto" w:fill="auto"/>
          </w:tcPr>
          <w:p w14:paraId="5B3A9DD9" w14:textId="7D69E7CC" w:rsidR="00BE0B3D" w:rsidRPr="002F6D48" w:rsidRDefault="00D84BF4" w:rsidP="007E1EA5">
            <w:pPr>
              <w:pStyle w:val="ECVOrganisationDetails"/>
              <w:rPr>
                <w:i/>
              </w:rPr>
            </w:pPr>
            <w:r>
              <w:rPr>
                <w:i/>
              </w:rPr>
              <w:t xml:space="preserve">Master’s Thesis | </w:t>
            </w:r>
            <w:r w:rsidR="00BE0B3D" w:rsidRPr="002F6D48">
              <w:rPr>
                <w:i/>
              </w:rPr>
              <w:t xml:space="preserve">Guide: Prof. Jyoti </w:t>
            </w:r>
            <w:r w:rsidR="00BA182C">
              <w:rPr>
                <w:i/>
              </w:rPr>
              <w:t xml:space="preserve">R. </w:t>
            </w:r>
            <w:r w:rsidR="00BE0B3D" w:rsidRPr="002F6D48">
              <w:rPr>
                <w:i/>
              </w:rPr>
              <w:t>Seth, IIT Bombay</w:t>
            </w:r>
          </w:p>
        </w:tc>
      </w:tr>
      <w:tr w:rsidR="00BE0B3D" w14:paraId="465A7FCD" w14:textId="77777777" w:rsidTr="007E1EA5">
        <w:trPr>
          <w:cantSplit/>
        </w:trPr>
        <w:tc>
          <w:tcPr>
            <w:tcW w:w="2834" w:type="dxa"/>
            <w:vMerge/>
            <w:shd w:val="clear" w:color="auto" w:fill="auto"/>
          </w:tcPr>
          <w:p w14:paraId="45272DBF" w14:textId="77777777" w:rsidR="00BE0B3D" w:rsidRDefault="00BE0B3D" w:rsidP="007E1EA5"/>
        </w:tc>
        <w:tc>
          <w:tcPr>
            <w:tcW w:w="7541" w:type="dxa"/>
            <w:shd w:val="clear" w:color="auto" w:fill="auto"/>
          </w:tcPr>
          <w:p w14:paraId="33470368" w14:textId="5F7CB4E1" w:rsidR="00401997" w:rsidRDefault="0022757E" w:rsidP="00904690">
            <w:pPr>
              <w:pStyle w:val="ECVSectionBullet"/>
              <w:numPr>
                <w:ilvl w:val="0"/>
                <w:numId w:val="2"/>
              </w:numPr>
            </w:pPr>
            <w:r>
              <w:t xml:space="preserve">Phase behaviour of novel solid state microemulsions based on sugar and oil mixtures was investigated. </w:t>
            </w:r>
            <w:r w:rsidR="006A001E">
              <w:t xml:space="preserve">The </w:t>
            </w:r>
            <w:r>
              <w:t>method was optimized by better design of dehydration setups to prepare dry glassy microemulsions.</w:t>
            </w:r>
            <w:r w:rsidR="00401997">
              <w:t xml:space="preserve"> The microemulsion morphology and physical properties were characterized using SEM, SANS, DSC and Rheology.</w:t>
            </w:r>
            <w:r w:rsidR="00904690">
              <w:t xml:space="preserve"> Subsequently, nanoporous polymers were also prepared.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3485C" w14:paraId="2761284F" w14:textId="77777777" w:rsidTr="002E477B">
        <w:trPr>
          <w:trHeight w:val="170"/>
        </w:trPr>
        <w:tc>
          <w:tcPr>
            <w:tcW w:w="2835" w:type="dxa"/>
            <w:shd w:val="clear" w:color="auto" w:fill="auto"/>
          </w:tcPr>
          <w:p w14:paraId="185B29ED" w14:textId="77777777" w:rsidR="0003485C" w:rsidRDefault="0003485C" w:rsidP="002E477B">
            <w:pPr>
              <w:pStyle w:val="ECVLeftHeading"/>
              <w:jc w:val="left"/>
            </w:pPr>
            <w:r>
              <w:rPr>
                <w:caps w:val="0"/>
              </w:rPr>
              <w:lastRenderedPageBreak/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C641AB2" w14:textId="77777777" w:rsidR="0003485C" w:rsidRDefault="0003485C" w:rsidP="002E477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ECA0321" wp14:editId="56E70957">
                  <wp:extent cx="4788535" cy="90805"/>
                  <wp:effectExtent l="0" t="0" r="12065" b="1079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542C19" w14:textId="77777777" w:rsidR="0003485C" w:rsidRDefault="0003485C" w:rsidP="0003485C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E3735" w14:paraId="5D754E21" w14:textId="77777777" w:rsidTr="002E477B">
        <w:trPr>
          <w:cantSplit/>
        </w:trPr>
        <w:tc>
          <w:tcPr>
            <w:tcW w:w="2834" w:type="dxa"/>
            <w:shd w:val="clear" w:color="auto" w:fill="auto"/>
          </w:tcPr>
          <w:p w14:paraId="1D9100BE" w14:textId="6229E295" w:rsidR="00FE3735" w:rsidRDefault="00FE3735" w:rsidP="002E477B">
            <w:pPr>
              <w:pStyle w:val="ECVDate"/>
            </w:pPr>
            <w:r>
              <w:t>Aug’18 – Nov’18</w:t>
            </w:r>
          </w:p>
        </w:tc>
        <w:tc>
          <w:tcPr>
            <w:tcW w:w="7541" w:type="dxa"/>
            <w:shd w:val="clear" w:color="auto" w:fill="auto"/>
          </w:tcPr>
          <w:p w14:paraId="5ED6472C" w14:textId="1D466C7B" w:rsidR="00FE3735" w:rsidRDefault="00764BBE" w:rsidP="00764BBE">
            <w:pPr>
              <w:pStyle w:val="ECVSubSectionHeading"/>
            </w:pPr>
            <w:r>
              <w:t>Project Assistant</w:t>
            </w:r>
          </w:p>
        </w:tc>
      </w:tr>
      <w:tr w:rsidR="00764BBE" w14:paraId="663EF076" w14:textId="77777777" w:rsidTr="002E477B">
        <w:trPr>
          <w:cantSplit/>
        </w:trPr>
        <w:tc>
          <w:tcPr>
            <w:tcW w:w="2834" w:type="dxa"/>
            <w:shd w:val="clear" w:color="auto" w:fill="auto"/>
          </w:tcPr>
          <w:p w14:paraId="290AFD58" w14:textId="77777777" w:rsidR="00764BBE" w:rsidRDefault="00764BBE" w:rsidP="002E477B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25A5D73C" w14:textId="2D7FDCCD" w:rsidR="00764BBE" w:rsidRPr="00764BBE" w:rsidRDefault="00764BBE" w:rsidP="00764BBE">
            <w:pPr>
              <w:pStyle w:val="ECVSubSectionHeading"/>
              <w:rPr>
                <w:rFonts w:eastAsia="ArialMT" w:cs="ArialMT"/>
                <w:i/>
                <w:color w:val="3F3A38"/>
                <w:sz w:val="18"/>
                <w:szCs w:val="18"/>
              </w:rPr>
            </w:pPr>
            <w:r w:rsidRPr="00FE3735">
              <w:rPr>
                <w:rFonts w:eastAsia="ArialMT" w:cs="ArialMT"/>
                <w:i/>
                <w:color w:val="3F3A38"/>
                <w:sz w:val="18"/>
                <w:szCs w:val="18"/>
              </w:rPr>
              <w:t>Chemical Engineerin</w:t>
            </w:r>
            <w:r>
              <w:rPr>
                <w:rFonts w:eastAsia="ArialMT" w:cs="ArialMT"/>
                <w:i/>
                <w:color w:val="3F3A38"/>
                <w:sz w:val="18"/>
                <w:szCs w:val="18"/>
              </w:rPr>
              <w:t>g Department, ICT Mumbai, India</w:t>
            </w:r>
          </w:p>
        </w:tc>
      </w:tr>
      <w:tr w:rsidR="00764BBE" w14:paraId="15DC3C32" w14:textId="77777777" w:rsidTr="002E477B">
        <w:trPr>
          <w:cantSplit/>
        </w:trPr>
        <w:tc>
          <w:tcPr>
            <w:tcW w:w="2834" w:type="dxa"/>
            <w:shd w:val="clear" w:color="auto" w:fill="auto"/>
          </w:tcPr>
          <w:p w14:paraId="4A086D03" w14:textId="77777777" w:rsidR="00764BBE" w:rsidRDefault="00764BBE" w:rsidP="002E477B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3E321913" w14:textId="54F27134" w:rsidR="00E3506D" w:rsidRDefault="00764BBE" w:rsidP="00764BBE">
            <w:pPr>
              <w:pStyle w:val="ECVSubSectionHeading"/>
              <w:rPr>
                <w:color w:val="3F3A38"/>
                <w:sz w:val="18"/>
              </w:rPr>
            </w:pPr>
            <w:r>
              <w:t>▪</w:t>
            </w:r>
            <w:r>
              <w:rPr>
                <w:color w:val="3F3A38"/>
                <w:sz w:val="18"/>
              </w:rPr>
              <w:t xml:space="preserve"> </w:t>
            </w:r>
            <w:r w:rsidR="00E3506D" w:rsidRPr="00E3506D">
              <w:rPr>
                <w:color w:val="3F3A38"/>
                <w:sz w:val="18"/>
                <w:u w:val="single"/>
              </w:rPr>
              <w:t>Tasks</w:t>
            </w:r>
            <w:r w:rsidR="00E3506D">
              <w:rPr>
                <w:color w:val="3F3A38"/>
                <w:sz w:val="18"/>
              </w:rPr>
              <w:t>: Prepare experimental setup for Drop Volume method, perform dynamic IFT measurements of various soap samples.</w:t>
            </w:r>
          </w:p>
          <w:p w14:paraId="43AB3AE7" w14:textId="241BAE17" w:rsidR="00764BBE" w:rsidRPr="00FE3735" w:rsidRDefault="00E3506D" w:rsidP="00764BBE">
            <w:pPr>
              <w:pStyle w:val="ECVSubSectionHeading"/>
              <w:rPr>
                <w:color w:val="3F3A38"/>
                <w:sz w:val="18"/>
              </w:rPr>
            </w:pPr>
            <w:r>
              <w:t>▪</w:t>
            </w:r>
            <w:r>
              <w:rPr>
                <w:color w:val="3F3A38"/>
                <w:sz w:val="18"/>
              </w:rPr>
              <w:t xml:space="preserve"> </w:t>
            </w:r>
            <w:r w:rsidR="00764BBE" w:rsidRPr="00FE3735">
              <w:rPr>
                <w:color w:val="3F3A38"/>
                <w:sz w:val="18"/>
                <w:u w:val="single"/>
              </w:rPr>
              <w:t>Projects</w:t>
            </w:r>
            <w:r w:rsidR="00764BBE" w:rsidRPr="00FE3735">
              <w:rPr>
                <w:color w:val="3F3A38"/>
                <w:sz w:val="18"/>
              </w:rPr>
              <w:t>: Dynamic Interfacial Tension measurements of coconut oil- soap solutions</w:t>
            </w:r>
          </w:p>
          <w:p w14:paraId="1AFF9513" w14:textId="77777777" w:rsidR="00764BBE" w:rsidRDefault="00764BBE" w:rsidP="00764BBE">
            <w:pPr>
              <w:pStyle w:val="ECVSubSectionHeading"/>
              <w:rPr>
                <w:color w:val="3F3A38"/>
                <w:sz w:val="18"/>
              </w:rPr>
            </w:pPr>
            <w:r w:rsidRPr="00FE3735">
              <w:rPr>
                <w:color w:val="3F3A38"/>
                <w:sz w:val="18"/>
              </w:rPr>
              <w:t>▪</w:t>
            </w:r>
            <w:r>
              <w:rPr>
                <w:color w:val="3F3A38"/>
                <w:sz w:val="18"/>
              </w:rPr>
              <w:t xml:space="preserve"> </w:t>
            </w:r>
            <w:r w:rsidRPr="00FE3735">
              <w:rPr>
                <w:color w:val="3F3A38"/>
                <w:sz w:val="18"/>
                <w:u w:val="single"/>
              </w:rPr>
              <w:t>Skills developed</w:t>
            </w:r>
            <w:r w:rsidRPr="00FE3735">
              <w:rPr>
                <w:color w:val="3F3A38"/>
                <w:sz w:val="18"/>
              </w:rPr>
              <w:t>: Interfacial Science, Experimental design, Data collection and analysis</w:t>
            </w:r>
          </w:p>
          <w:p w14:paraId="404AEFBF" w14:textId="77777777" w:rsidR="00764BBE" w:rsidRDefault="00764BBE" w:rsidP="00FE3735">
            <w:pPr>
              <w:pStyle w:val="ECVSubSectionHeading"/>
            </w:pPr>
          </w:p>
        </w:tc>
      </w:tr>
      <w:tr w:rsidR="0003485C" w14:paraId="3B4024A3" w14:textId="77777777" w:rsidTr="002E47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92CAD47" w14:textId="107CB98E" w:rsidR="0003485C" w:rsidRDefault="0003485C" w:rsidP="00FE3735">
            <w:pPr>
              <w:pStyle w:val="ECVDate"/>
            </w:pPr>
            <w:r>
              <w:t xml:space="preserve"> Oct’16 – </w:t>
            </w:r>
            <w:r w:rsidR="00FE3735">
              <w:t>July’18</w:t>
            </w:r>
          </w:p>
        </w:tc>
        <w:tc>
          <w:tcPr>
            <w:tcW w:w="7541" w:type="dxa"/>
            <w:shd w:val="clear" w:color="auto" w:fill="auto"/>
          </w:tcPr>
          <w:p w14:paraId="62002960" w14:textId="77777777" w:rsidR="0003485C" w:rsidRDefault="0003485C" w:rsidP="002E477B">
            <w:pPr>
              <w:pStyle w:val="ECVSubSectionHeading"/>
            </w:pPr>
            <w:r>
              <w:t>Research Associate</w:t>
            </w:r>
          </w:p>
        </w:tc>
      </w:tr>
      <w:tr w:rsidR="0003485C" w14:paraId="773A1414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26CA561C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3B56424B" w14:textId="25A857B6" w:rsidR="0003485C" w:rsidRPr="00340C39" w:rsidRDefault="0003485C" w:rsidP="00764BBE">
            <w:pPr>
              <w:pStyle w:val="ECVOrganisationDetails"/>
              <w:rPr>
                <w:i/>
              </w:rPr>
            </w:pPr>
            <w:r w:rsidRPr="00340C39">
              <w:rPr>
                <w:i/>
              </w:rPr>
              <w:t>Chemical Engineering Department, IIT Bombay, India</w:t>
            </w:r>
          </w:p>
        </w:tc>
      </w:tr>
      <w:tr w:rsidR="0003485C" w14:paraId="28BD08E2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0A21457F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69AC188A" w14:textId="2216F80A" w:rsidR="002A0F1D" w:rsidRDefault="006C6381" w:rsidP="002A0F1D">
            <w:pPr>
              <w:pStyle w:val="ECVSectionBullet"/>
              <w:numPr>
                <w:ilvl w:val="0"/>
                <w:numId w:val="2"/>
              </w:numPr>
            </w:pPr>
            <w:r w:rsidRPr="006C6381">
              <w:rPr>
                <w:u w:val="single"/>
              </w:rPr>
              <w:t>Tasks:</w:t>
            </w:r>
            <w:r>
              <w:t xml:space="preserve"> </w:t>
            </w:r>
            <w:r w:rsidR="00BE206E">
              <w:t>Performed f</w:t>
            </w:r>
            <w:r w:rsidR="000A6D36">
              <w:t>undamental and application-based r</w:t>
            </w:r>
            <w:r w:rsidR="0003485C">
              <w:t>esearch projects in the field of interfacial sciences, poly</w:t>
            </w:r>
            <w:r w:rsidR="006A001E">
              <w:t>mer chemistry and self-assembly</w:t>
            </w:r>
            <w:r w:rsidR="00B54F1D">
              <w:t xml:space="preserve">. </w:t>
            </w:r>
            <w:r w:rsidR="00BE206E">
              <w:t xml:space="preserve">The projects involved </w:t>
            </w:r>
            <w:r>
              <w:t xml:space="preserve">both </w:t>
            </w:r>
            <w:r w:rsidR="00BE206E">
              <w:t>experimental and theoretical studies.</w:t>
            </w:r>
          </w:p>
          <w:p w14:paraId="73A4AF11" w14:textId="4C745E9D" w:rsidR="002A0F1D" w:rsidRDefault="002A0F1D" w:rsidP="002A0F1D">
            <w:pPr>
              <w:pStyle w:val="ECVSectionBullet"/>
              <w:numPr>
                <w:ilvl w:val="0"/>
                <w:numId w:val="2"/>
              </w:numPr>
            </w:pPr>
            <w:r w:rsidRPr="00BE206E">
              <w:rPr>
                <w:u w:val="single"/>
              </w:rPr>
              <w:t>Skills developed:</w:t>
            </w:r>
            <w:r>
              <w:t xml:space="preserve"> Experiment design, Mathematical modelling, MATLAB programming</w:t>
            </w:r>
          </w:p>
          <w:p w14:paraId="5CA5440B" w14:textId="0A366896" w:rsidR="006A001E" w:rsidRDefault="006A001E" w:rsidP="002A0F1D">
            <w:pPr>
              <w:pStyle w:val="ECVSectionBullet"/>
              <w:numPr>
                <w:ilvl w:val="0"/>
                <w:numId w:val="2"/>
              </w:numPr>
            </w:pPr>
            <w:r w:rsidRPr="002A0F1D">
              <w:rPr>
                <w:u w:val="single"/>
              </w:rPr>
              <w:t>Projects:</w:t>
            </w:r>
            <w:r>
              <w:t xml:space="preserve"> 1. Unusual Self-Assembly of Polyelectrolytes</w:t>
            </w:r>
          </w:p>
          <w:p w14:paraId="3973C0ED" w14:textId="7037BB98" w:rsidR="006A001E" w:rsidRDefault="006A001E" w:rsidP="006A001E">
            <w:pPr>
              <w:pStyle w:val="ECVSectionBullet"/>
              <w:ind w:left="113"/>
            </w:pPr>
            <w:r>
              <w:t xml:space="preserve">    </w:t>
            </w:r>
            <w:r w:rsidR="00903D31">
              <w:t xml:space="preserve">            </w:t>
            </w:r>
            <w:r>
              <w:rPr>
                <w:sz w:val="2"/>
              </w:rPr>
              <w:t xml:space="preserve">       </w:t>
            </w:r>
            <w:r w:rsidR="00903D31">
              <w:rPr>
                <w:sz w:val="2"/>
              </w:rPr>
              <w:t xml:space="preserve">                          </w:t>
            </w:r>
            <w:r>
              <w:t>2. Synthesis of Interpenetrating Polymer Network</w:t>
            </w:r>
          </w:p>
        </w:tc>
      </w:tr>
      <w:tr w:rsidR="0003485C" w14:paraId="2F4E4850" w14:textId="77777777" w:rsidTr="002E4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70A9632" w14:textId="4B304A9D" w:rsidR="0003485C" w:rsidRDefault="0003485C" w:rsidP="002E477B"/>
        </w:tc>
        <w:tc>
          <w:tcPr>
            <w:tcW w:w="7541" w:type="dxa"/>
            <w:shd w:val="clear" w:color="auto" w:fill="auto"/>
            <w:vAlign w:val="bottom"/>
          </w:tcPr>
          <w:p w14:paraId="6C310308" w14:textId="77777777" w:rsidR="0003485C" w:rsidRDefault="0003485C" w:rsidP="002E477B">
            <w:pPr>
              <w:pStyle w:val="ECVBusinessSectorRow"/>
            </w:pPr>
          </w:p>
        </w:tc>
      </w:tr>
      <w:tr w:rsidR="0003485C" w14:paraId="70CD732B" w14:textId="77777777" w:rsidTr="002E47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938E905" w14:textId="77777777" w:rsidR="0003485C" w:rsidRDefault="0003485C" w:rsidP="002E477B">
            <w:pPr>
              <w:pStyle w:val="ECVDate"/>
            </w:pPr>
            <w:r>
              <w:t>Jul’15 – Sep’16</w:t>
            </w:r>
          </w:p>
        </w:tc>
        <w:tc>
          <w:tcPr>
            <w:tcW w:w="7541" w:type="dxa"/>
            <w:shd w:val="clear" w:color="auto" w:fill="auto"/>
          </w:tcPr>
          <w:p w14:paraId="47505B5A" w14:textId="2DC3965D" w:rsidR="0003485C" w:rsidRDefault="0003485C" w:rsidP="002E477B">
            <w:pPr>
              <w:pStyle w:val="ECVSubSectionHeading"/>
            </w:pPr>
            <w:r>
              <w:t xml:space="preserve">Business </w:t>
            </w:r>
            <w:r w:rsidR="003A191B">
              <w:t xml:space="preserve">Data </w:t>
            </w:r>
            <w:r>
              <w:t>Analyst</w:t>
            </w:r>
          </w:p>
        </w:tc>
      </w:tr>
      <w:tr w:rsidR="0003485C" w14:paraId="75AF442D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14C832E8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5F55B28A" w14:textId="77777777" w:rsidR="0003485C" w:rsidRPr="00340C39" w:rsidRDefault="0003485C" w:rsidP="002E477B">
            <w:pPr>
              <w:pStyle w:val="ECVOrganisationDetails"/>
              <w:rPr>
                <w:i/>
              </w:rPr>
            </w:pPr>
            <w:r w:rsidRPr="00340C39">
              <w:rPr>
                <w:i/>
              </w:rPr>
              <w:t xml:space="preserve">HSBC, </w:t>
            </w:r>
            <w:r>
              <w:rPr>
                <w:i/>
              </w:rPr>
              <w:t xml:space="preserve">Bangalore, </w:t>
            </w:r>
            <w:r w:rsidRPr="00340C39">
              <w:rPr>
                <w:i/>
              </w:rPr>
              <w:t>India</w:t>
            </w:r>
          </w:p>
        </w:tc>
      </w:tr>
      <w:tr w:rsidR="0003485C" w14:paraId="7F51BE9A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5FD76FB3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6456FF08" w14:textId="199A426A" w:rsidR="0003485C" w:rsidRPr="002A0F1D" w:rsidRDefault="000A1CD7" w:rsidP="002E477B">
            <w:pPr>
              <w:pStyle w:val="ECVSectionBullet"/>
              <w:numPr>
                <w:ilvl w:val="0"/>
                <w:numId w:val="2"/>
              </w:numPr>
              <w:rPr>
                <w:u w:val="single"/>
              </w:rPr>
            </w:pPr>
            <w:r w:rsidRPr="000A1CD7">
              <w:rPr>
                <w:u w:val="single"/>
              </w:rPr>
              <w:t>Tasks:</w:t>
            </w:r>
            <w:r>
              <w:t xml:space="preserve"> </w:t>
            </w:r>
            <w:r w:rsidR="0003485C">
              <w:t xml:space="preserve">Develop automated reports from raw banking databases and perform </w:t>
            </w:r>
            <w:r w:rsidR="00D06BD4">
              <w:t xml:space="preserve">statistical </w:t>
            </w:r>
            <w:r w:rsidR="0003485C">
              <w:t xml:space="preserve">data analysis to identify regulatory anomalies in product sales </w:t>
            </w:r>
          </w:p>
          <w:p w14:paraId="2AC4FC49" w14:textId="5873F09C" w:rsidR="002A0F1D" w:rsidRPr="002A0F1D" w:rsidRDefault="002A0F1D" w:rsidP="002E477B">
            <w:pPr>
              <w:pStyle w:val="ECVSectionBullet"/>
              <w:numPr>
                <w:ilvl w:val="0"/>
                <w:numId w:val="2"/>
              </w:numPr>
              <w:rPr>
                <w:u w:val="single"/>
              </w:rPr>
            </w:pPr>
            <w:r w:rsidRPr="00BE206E">
              <w:rPr>
                <w:u w:val="single"/>
              </w:rPr>
              <w:t>Skills developed:</w:t>
            </w:r>
            <w:r>
              <w:t xml:space="preserve"> Statistical Analysis,  VBA/MS Excel programming</w:t>
            </w:r>
            <w:r w:rsidR="00BE206E">
              <w:t>, Team management</w:t>
            </w:r>
          </w:p>
          <w:p w14:paraId="66E521E2" w14:textId="18CE55DA" w:rsidR="002A0F1D" w:rsidRDefault="002A0F1D" w:rsidP="00434959">
            <w:pPr>
              <w:pStyle w:val="ECVSectionBullet"/>
              <w:numPr>
                <w:ilvl w:val="0"/>
                <w:numId w:val="2"/>
              </w:numPr>
            </w:pPr>
            <w:r w:rsidRPr="002A0F1D">
              <w:rPr>
                <w:u w:val="single"/>
              </w:rPr>
              <w:t>Projects:</w:t>
            </w:r>
            <w:r>
              <w:t xml:space="preserve"> Sales Suitability Regulatory Project, Non-Banking Financial Institution Transaction Analysis</w:t>
            </w:r>
          </w:p>
        </w:tc>
      </w:tr>
      <w:tr w:rsidR="0003485C" w14:paraId="403C5669" w14:textId="77777777" w:rsidTr="002E4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E0A2289" w14:textId="77777777" w:rsidR="0003485C" w:rsidRDefault="0003485C" w:rsidP="002E477B"/>
        </w:tc>
        <w:tc>
          <w:tcPr>
            <w:tcW w:w="7541" w:type="dxa"/>
            <w:shd w:val="clear" w:color="auto" w:fill="auto"/>
            <w:vAlign w:val="bottom"/>
          </w:tcPr>
          <w:p w14:paraId="65DBE711" w14:textId="77777777" w:rsidR="0003485C" w:rsidRDefault="0003485C" w:rsidP="002E477B">
            <w:pPr>
              <w:pStyle w:val="ECVBusinessSectorRow"/>
            </w:pPr>
          </w:p>
        </w:tc>
      </w:tr>
    </w:tbl>
    <w:p w14:paraId="22837A12" w14:textId="77777777" w:rsidR="00AD5B7D" w:rsidRDefault="00AD5B7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D5B7D" w14:paraId="4DD19C89" w14:textId="77777777" w:rsidTr="00762DC2">
        <w:trPr>
          <w:trHeight w:val="170"/>
        </w:trPr>
        <w:tc>
          <w:tcPr>
            <w:tcW w:w="2835" w:type="dxa"/>
            <w:shd w:val="clear" w:color="auto" w:fill="auto"/>
          </w:tcPr>
          <w:p w14:paraId="356E9CC7" w14:textId="3BF01F96" w:rsidR="00AD5B7D" w:rsidRDefault="00292903" w:rsidP="00762DC2">
            <w:pPr>
              <w:pStyle w:val="ECVLeftHeading"/>
              <w:jc w:val="left"/>
            </w:pPr>
            <w:r>
              <w:rPr>
                <w:caps w:val="0"/>
              </w:rPr>
              <w:t>RESEARCH SKILLS &amp; INTEREST</w:t>
            </w:r>
            <w:r w:rsidR="00ED14C7">
              <w:rPr>
                <w:caps w:val="0"/>
              </w:rPr>
              <w:t>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F8148C5" w14:textId="77777777" w:rsidR="00AD5B7D" w:rsidRDefault="00AD5B7D" w:rsidP="00762DC2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DAB90CC" wp14:editId="49DEB0B5">
                  <wp:extent cx="4788535" cy="90805"/>
                  <wp:effectExtent l="0" t="0" r="1206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D6F0E0E" w14:textId="77777777" w:rsidR="00AD5B7D" w:rsidRDefault="00AD5B7D" w:rsidP="00AD5B7D">
      <w:pPr>
        <w:pStyle w:val="ECVComments"/>
      </w:pPr>
    </w:p>
    <w:tbl>
      <w:tblPr>
        <w:tblpPr w:topFromText="6" w:bottomFromText="170" w:vertAnchor="text" w:tblpY="6"/>
        <w:tblW w:w="101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7344"/>
      </w:tblGrid>
      <w:tr w:rsidR="00505F92" w14:paraId="18067DA4" w14:textId="77777777" w:rsidTr="000A5140">
        <w:trPr>
          <w:cantSplit/>
          <w:trHeight w:val="20"/>
        </w:trPr>
        <w:tc>
          <w:tcPr>
            <w:tcW w:w="2843" w:type="dxa"/>
            <w:shd w:val="clear" w:color="auto" w:fill="auto"/>
          </w:tcPr>
          <w:p w14:paraId="5EBE246D" w14:textId="77777777" w:rsidR="00505F92" w:rsidRDefault="00505F92" w:rsidP="000A5140">
            <w:pPr>
              <w:pStyle w:val="ECVLeftDetails"/>
            </w:pPr>
            <w:r>
              <w:t>Research Interests</w:t>
            </w:r>
          </w:p>
          <w:p w14:paraId="3F885173" w14:textId="77777777" w:rsidR="00505F92" w:rsidRDefault="00505F92" w:rsidP="000A5140">
            <w:pPr>
              <w:pStyle w:val="ECVLeftDetails"/>
            </w:pPr>
          </w:p>
          <w:p w14:paraId="32CC6B2E" w14:textId="77777777" w:rsidR="000A5140" w:rsidRDefault="000A5140" w:rsidP="000A5140">
            <w:pPr>
              <w:pStyle w:val="ECVLeftDetails"/>
            </w:pPr>
            <w:r>
              <w:t>Characterization Skills</w:t>
            </w:r>
          </w:p>
          <w:p w14:paraId="167CFE69" w14:textId="77777777" w:rsidR="000A5140" w:rsidRDefault="000A5140" w:rsidP="000A5140">
            <w:pPr>
              <w:pStyle w:val="ECVLeftDetails"/>
            </w:pPr>
          </w:p>
          <w:p w14:paraId="6BA9792C" w14:textId="5E69C610" w:rsidR="00505F92" w:rsidRDefault="00505F92" w:rsidP="000A5140">
            <w:pPr>
              <w:pStyle w:val="ECVLeftDetails"/>
            </w:pPr>
            <w:r>
              <w:t xml:space="preserve">Software </w:t>
            </w:r>
            <w:r w:rsidR="000A5140">
              <w:t>S</w:t>
            </w:r>
            <w:r>
              <w:t>kills</w:t>
            </w:r>
          </w:p>
          <w:p w14:paraId="20B008DF" w14:textId="77777777" w:rsidR="00505F92" w:rsidRDefault="00505F92" w:rsidP="000A5140">
            <w:pPr>
              <w:pStyle w:val="ECVLeftDetails"/>
              <w:jc w:val="left"/>
            </w:pPr>
          </w:p>
        </w:tc>
        <w:tc>
          <w:tcPr>
            <w:tcW w:w="7344" w:type="dxa"/>
            <w:shd w:val="clear" w:color="auto" w:fill="auto"/>
          </w:tcPr>
          <w:p w14:paraId="1082C830" w14:textId="38341C96" w:rsidR="00433C87" w:rsidRDefault="00433C87" w:rsidP="000A5140">
            <w:pPr>
              <w:pStyle w:val="ECVSectionBullet"/>
              <w:numPr>
                <w:ilvl w:val="0"/>
                <w:numId w:val="2"/>
              </w:numPr>
            </w:pPr>
            <w:r>
              <w:t>Self-assembly, Interfacial Dynamics, Microemulsions</w:t>
            </w:r>
          </w:p>
          <w:p w14:paraId="1C510837" w14:textId="77777777" w:rsidR="00505F92" w:rsidRDefault="00505F92" w:rsidP="000A5140">
            <w:pPr>
              <w:pStyle w:val="ECVSectionBullet"/>
              <w:numPr>
                <w:ilvl w:val="0"/>
                <w:numId w:val="2"/>
              </w:numPr>
            </w:pPr>
            <w:r>
              <w:t>Nanostructured materials, Polymer Synthesis, Polyelectrolytes</w:t>
            </w:r>
          </w:p>
          <w:p w14:paraId="111E2339" w14:textId="60A1DFF6" w:rsidR="000A5140" w:rsidRDefault="00960C35" w:rsidP="000A5140">
            <w:pPr>
              <w:pStyle w:val="ECVSectionBullet"/>
              <w:numPr>
                <w:ilvl w:val="0"/>
                <w:numId w:val="2"/>
              </w:numPr>
            </w:pPr>
            <w:r>
              <w:t xml:space="preserve">Interfacial Tensiometry, </w:t>
            </w:r>
            <w:r w:rsidR="000A5140">
              <w:t>SEM, DSC, FTIR, DLS, Rheometry,</w:t>
            </w:r>
            <w:r>
              <w:t xml:space="preserve"> Osmometry, Microscopy, </w:t>
            </w:r>
            <w:r w:rsidR="000A5140">
              <w:t>SANS</w:t>
            </w:r>
          </w:p>
          <w:p w14:paraId="158CADA8" w14:textId="77777777" w:rsidR="00505F92" w:rsidRDefault="00505F92" w:rsidP="000A5140">
            <w:pPr>
              <w:pStyle w:val="ECVSectionBullet"/>
              <w:numPr>
                <w:ilvl w:val="0"/>
                <w:numId w:val="2"/>
              </w:numPr>
            </w:pPr>
            <w:r w:rsidRPr="009A4992">
              <w:rPr>
                <w:b/>
              </w:rPr>
              <w:t>Coding</w:t>
            </w:r>
            <w:r>
              <w:t xml:space="preserve">                : MATLAB, C++, VBA, SAS, SQL</w:t>
            </w:r>
          </w:p>
          <w:p w14:paraId="50EEB6F5" w14:textId="77777777" w:rsidR="00505F92" w:rsidRDefault="00505F92" w:rsidP="000A5140">
            <w:pPr>
              <w:pStyle w:val="ECVSectionBullet"/>
              <w:numPr>
                <w:ilvl w:val="0"/>
                <w:numId w:val="2"/>
              </w:numPr>
            </w:pPr>
            <w:r>
              <w:rPr>
                <w:b/>
              </w:rPr>
              <w:t xml:space="preserve">Scientific   </w:t>
            </w:r>
            <w:r>
              <w:t xml:space="preserve">         </w:t>
            </w:r>
            <w:r>
              <w:rPr>
                <w:sz w:val="2"/>
              </w:rPr>
              <w:t xml:space="preserve">                                                                                                              </w:t>
            </w:r>
            <w:r>
              <w:rPr>
                <w:sz w:val="12"/>
              </w:rPr>
              <w:t xml:space="preserve"> </w:t>
            </w:r>
            <w:r>
              <w:t>: ImageJ, ASPEN Plus, ProsimPlus, ANSYS FLUENT, COMSOL</w:t>
            </w:r>
          </w:p>
          <w:p w14:paraId="1C2D7C4E" w14:textId="3256289A" w:rsidR="00505F92" w:rsidRPr="0058624D" w:rsidRDefault="00505F92" w:rsidP="000A5140">
            <w:pPr>
              <w:pStyle w:val="ECVSectionBullet"/>
              <w:numPr>
                <w:ilvl w:val="0"/>
                <w:numId w:val="2"/>
              </w:numPr>
            </w:pPr>
            <w:r w:rsidRPr="009A4992">
              <w:rPr>
                <w:b/>
              </w:rPr>
              <w:t>Documentation</w:t>
            </w:r>
            <w:r>
              <w:t xml:space="preserve"> </w:t>
            </w:r>
            <w:r>
              <w:rPr>
                <w:sz w:val="2"/>
              </w:rPr>
              <w:t xml:space="preserve">                            </w:t>
            </w:r>
            <w:r>
              <w:rPr>
                <w:sz w:val="10"/>
              </w:rPr>
              <w:t xml:space="preserve"> </w:t>
            </w:r>
            <w:r>
              <w:t>: Origin, LATEX, MS Office, OpenOffice</w:t>
            </w:r>
          </w:p>
        </w:tc>
      </w:tr>
    </w:tbl>
    <w:p w14:paraId="781895C1" w14:textId="77777777" w:rsidR="00AD5B7D" w:rsidRDefault="00AD5B7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0F0D3A6B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6F3AFDD" w14:textId="00B7B0B2" w:rsidR="006C4A6D" w:rsidRDefault="00D0020B" w:rsidP="00E6211E">
            <w:pPr>
              <w:pStyle w:val="ECVLeftHeading"/>
              <w:jc w:val="left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DAE9EC1" w14:textId="1CDE1A35" w:rsidR="006C4A6D" w:rsidRDefault="006C38B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F765611" wp14:editId="2F88597F">
                  <wp:extent cx="4788535" cy="90805"/>
                  <wp:effectExtent l="0" t="0" r="12065" b="1079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6A64EC0A" w14:textId="77777777" w:rsidR="00945016" w:rsidRDefault="00945016"/>
    <w:tbl>
      <w:tblPr>
        <w:tblpPr w:topFromText="6" w:bottomFromText="170" w:vertAnchor="text" w:tblpX="1410" w:tblpY="6"/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43"/>
        <w:gridCol w:w="1087"/>
        <w:gridCol w:w="1744"/>
        <w:gridCol w:w="1231"/>
        <w:gridCol w:w="670"/>
        <w:gridCol w:w="562"/>
        <w:gridCol w:w="1237"/>
        <w:gridCol w:w="6"/>
      </w:tblGrid>
      <w:tr w:rsidR="000B454F" w:rsidRPr="00505F92" w14:paraId="136B3A05" w14:textId="77777777" w:rsidTr="00B11471">
        <w:trPr>
          <w:gridAfter w:val="1"/>
          <w:wAfter w:w="6" w:type="dxa"/>
          <w:cantSplit/>
          <w:trHeight w:val="190"/>
        </w:trPr>
        <w:tc>
          <w:tcPr>
            <w:tcW w:w="1440" w:type="dxa"/>
            <w:vMerge w:val="restart"/>
            <w:tcBorders>
              <w:top w:val="single" w:sz="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uto"/>
          </w:tcPr>
          <w:p w14:paraId="6D453DA9" w14:textId="77777777" w:rsidR="000B454F" w:rsidRPr="00505F92" w:rsidRDefault="000B454F" w:rsidP="00433C87">
            <w:pPr>
              <w:pStyle w:val="ECVLeftDetails"/>
              <w:rPr>
                <w:caps/>
                <w:sz w:val="12"/>
              </w:rPr>
            </w:pPr>
            <w:r w:rsidRPr="00945016">
              <w:t>IELTS - 2016</w:t>
            </w:r>
          </w:p>
        </w:tc>
        <w:tc>
          <w:tcPr>
            <w:tcW w:w="843" w:type="dxa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145B7555" w14:textId="77777777" w:rsidR="000B454F" w:rsidRPr="00433C87" w:rsidRDefault="000B454F" w:rsidP="00433C87">
            <w:pPr>
              <w:pStyle w:val="ECVLanguageHeading"/>
            </w:pPr>
            <w:r w:rsidRPr="00433C87">
              <w:t>CEFR Level</w:t>
            </w:r>
          </w:p>
        </w:tc>
        <w:tc>
          <w:tcPr>
            <w:tcW w:w="1087" w:type="dxa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13B0F7F4" w14:textId="77777777" w:rsidR="000B454F" w:rsidRPr="00433C87" w:rsidRDefault="000B454F" w:rsidP="00433C87">
            <w:pPr>
              <w:pStyle w:val="ECVLanguageHeading"/>
            </w:pPr>
            <w:r w:rsidRPr="00433C87">
              <w:t>OVERALL BAND</w:t>
            </w:r>
          </w:p>
        </w:tc>
        <w:tc>
          <w:tcPr>
            <w:tcW w:w="1744" w:type="dxa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8" w:space="0" w:color="C0C0C0"/>
            </w:tcBorders>
            <w:vAlign w:val="center"/>
          </w:tcPr>
          <w:p w14:paraId="0724F65B" w14:textId="77777777" w:rsidR="000B454F" w:rsidRPr="00433C87" w:rsidRDefault="000B454F" w:rsidP="00433C87">
            <w:pPr>
              <w:pStyle w:val="ECVLanguageHeading"/>
            </w:pPr>
            <w:r w:rsidRPr="00433C87">
              <w:t>Listening</w:t>
            </w:r>
          </w:p>
        </w:tc>
        <w:tc>
          <w:tcPr>
            <w:tcW w:w="123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0BA2B4" w14:textId="77777777" w:rsidR="000B454F" w:rsidRPr="00433C87" w:rsidRDefault="000B454F" w:rsidP="00433C87">
            <w:pPr>
              <w:pStyle w:val="ECVLanguageHeading"/>
            </w:pPr>
            <w:r w:rsidRPr="00433C87">
              <w:t>Reading</w:t>
            </w:r>
          </w:p>
        </w:tc>
        <w:tc>
          <w:tcPr>
            <w:tcW w:w="123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96D9C38" w14:textId="77777777" w:rsidR="000B454F" w:rsidRPr="00433C87" w:rsidRDefault="000B454F" w:rsidP="00433C87">
            <w:pPr>
              <w:pStyle w:val="ECVLanguageHeading"/>
            </w:pPr>
            <w:r w:rsidRPr="00433C87">
              <w:t xml:space="preserve">SPEAKING </w:t>
            </w:r>
          </w:p>
        </w:tc>
        <w:tc>
          <w:tcPr>
            <w:tcW w:w="12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D0EFF77" w14:textId="77777777" w:rsidR="000B454F" w:rsidRPr="00433C87" w:rsidRDefault="000B454F" w:rsidP="00433C87">
            <w:pPr>
              <w:pStyle w:val="ECVLanguageHeading"/>
            </w:pPr>
            <w:r w:rsidRPr="00433C87">
              <w:t>WRITING</w:t>
            </w:r>
          </w:p>
        </w:tc>
      </w:tr>
      <w:tr w:rsidR="00433C87" w:rsidRPr="00505F92" w14:paraId="5B8E6CA4" w14:textId="77777777" w:rsidTr="00B11471">
        <w:trPr>
          <w:gridAfter w:val="1"/>
          <w:wAfter w:w="6" w:type="dxa"/>
          <w:cantSplit/>
          <w:trHeight w:val="190"/>
        </w:trPr>
        <w:tc>
          <w:tcPr>
            <w:tcW w:w="1440" w:type="dxa"/>
            <w:vMerge/>
            <w:tcBorders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uto"/>
            <w:vAlign w:val="center"/>
          </w:tcPr>
          <w:p w14:paraId="139D97BA" w14:textId="77777777" w:rsidR="000B454F" w:rsidRPr="00505F92" w:rsidRDefault="000B454F" w:rsidP="00433C87">
            <w:pPr>
              <w:pStyle w:val="ECVLanguageName"/>
              <w:rPr>
                <w:sz w:val="12"/>
              </w:rPr>
            </w:pPr>
          </w:p>
        </w:tc>
        <w:tc>
          <w:tcPr>
            <w:tcW w:w="843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1FD2801B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C1</w:t>
            </w:r>
          </w:p>
        </w:tc>
        <w:tc>
          <w:tcPr>
            <w:tcW w:w="1087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698954DD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8</w:t>
            </w:r>
          </w:p>
        </w:tc>
        <w:tc>
          <w:tcPr>
            <w:tcW w:w="1744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8" w:space="0" w:color="D0CECE" w:themeColor="background2" w:themeShade="E6"/>
            </w:tcBorders>
          </w:tcPr>
          <w:p w14:paraId="54897FF2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8.5</w:t>
            </w:r>
          </w:p>
        </w:tc>
        <w:tc>
          <w:tcPr>
            <w:tcW w:w="1231" w:type="dxa"/>
            <w:tcBorders>
              <w:left w:val="single" w:sz="8" w:space="0" w:color="D0CECE" w:themeColor="background2" w:themeShade="E6"/>
              <w:bottom w:val="single" w:sz="1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39FE42B4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8.5</w:t>
            </w:r>
          </w:p>
        </w:tc>
        <w:tc>
          <w:tcPr>
            <w:tcW w:w="1232" w:type="dxa"/>
            <w:gridSpan w:val="2"/>
            <w:tcBorders>
              <w:left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6A51BA6C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7</w:t>
            </w:r>
          </w:p>
        </w:tc>
        <w:tc>
          <w:tcPr>
            <w:tcW w:w="1237" w:type="dxa"/>
            <w:tcBorders>
              <w:left w:val="single" w:sz="8" w:space="0" w:color="D0CECE" w:themeColor="background2" w:themeShade="E6"/>
              <w:bottom w:val="single" w:sz="12" w:space="0" w:color="D0CECE" w:themeColor="background2" w:themeShade="E6"/>
            </w:tcBorders>
            <w:shd w:val="clear" w:color="auto" w:fill="auto"/>
            <w:vAlign w:val="center"/>
          </w:tcPr>
          <w:p w14:paraId="5C69A291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7</w:t>
            </w:r>
          </w:p>
        </w:tc>
      </w:tr>
      <w:tr w:rsidR="00B11471" w:rsidRPr="00505F92" w14:paraId="2A854BB6" w14:textId="77777777" w:rsidTr="00B11471">
        <w:trPr>
          <w:gridAfter w:val="1"/>
          <w:wAfter w:w="6" w:type="dxa"/>
          <w:cantSplit/>
          <w:trHeight w:val="190"/>
        </w:trPr>
        <w:tc>
          <w:tcPr>
            <w:tcW w:w="1440" w:type="dxa"/>
            <w:vMerge w:val="restart"/>
            <w:tcBorders>
              <w:top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uto"/>
          </w:tcPr>
          <w:p w14:paraId="01EAB2DD" w14:textId="77777777" w:rsidR="000B454F" w:rsidRPr="000B454F" w:rsidRDefault="000B454F" w:rsidP="00433C87">
            <w:pPr>
              <w:pStyle w:val="ECVLeftDetails"/>
              <w:rPr>
                <w:sz w:val="14"/>
              </w:rPr>
            </w:pPr>
            <w:r w:rsidRPr="00945016">
              <w:t>GRE - 2017</w:t>
            </w:r>
          </w:p>
        </w:tc>
        <w:tc>
          <w:tcPr>
            <w:tcW w:w="1930" w:type="dxa"/>
            <w:gridSpan w:val="2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23DC6F40" w14:textId="77777777" w:rsidR="000B454F" w:rsidRPr="00433C87" w:rsidRDefault="000B454F" w:rsidP="00433C87">
            <w:pPr>
              <w:pStyle w:val="ECVLanguageHeading"/>
            </w:pPr>
            <w:r w:rsidRPr="00433C87">
              <w:t>ToTAL</w:t>
            </w:r>
          </w:p>
        </w:tc>
        <w:tc>
          <w:tcPr>
            <w:tcW w:w="174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8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5AA4AF1C" w14:textId="77777777" w:rsidR="000B454F" w:rsidRPr="00433C87" w:rsidRDefault="000B454F" w:rsidP="00433C87">
            <w:pPr>
              <w:pStyle w:val="ECVLanguageHeading"/>
            </w:pPr>
            <w:r w:rsidRPr="00433C87">
              <w:t>VERBAL REASONING</w:t>
            </w:r>
          </w:p>
        </w:tc>
        <w:tc>
          <w:tcPr>
            <w:tcW w:w="1901" w:type="dxa"/>
            <w:gridSpan w:val="2"/>
            <w:tcBorders>
              <w:top w:val="single" w:sz="18" w:space="0" w:color="D0CECE" w:themeColor="background2" w:themeShade="E6"/>
              <w:left w:val="single" w:sz="8" w:space="0" w:color="D0CECE" w:themeColor="background2" w:themeShade="E6"/>
              <w:bottom w:val="single" w:sz="8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7ADEB33D" w14:textId="77777777" w:rsidR="000B454F" w:rsidRPr="00433C87" w:rsidRDefault="000B454F" w:rsidP="00433C87">
            <w:pPr>
              <w:pStyle w:val="ECVLanguageHeading"/>
            </w:pPr>
            <w:r w:rsidRPr="00433C87">
              <w:t>QUANTITATIVE REASONING</w:t>
            </w:r>
          </w:p>
        </w:tc>
        <w:tc>
          <w:tcPr>
            <w:tcW w:w="1799" w:type="dxa"/>
            <w:gridSpan w:val="2"/>
            <w:tcBorders>
              <w:top w:val="single" w:sz="18" w:space="0" w:color="D0CECE" w:themeColor="background2" w:themeShade="E6"/>
              <w:left w:val="single" w:sz="8" w:space="0" w:color="D0CECE" w:themeColor="background2" w:themeShade="E6"/>
              <w:bottom w:val="single" w:sz="8" w:space="0" w:color="C0C0C0"/>
            </w:tcBorders>
            <w:shd w:val="clear" w:color="auto" w:fill="auto"/>
            <w:vAlign w:val="center"/>
          </w:tcPr>
          <w:p w14:paraId="4C8F24D8" w14:textId="77777777" w:rsidR="000B454F" w:rsidRPr="00433C87" w:rsidRDefault="000B454F" w:rsidP="00ED14C7">
            <w:pPr>
              <w:pStyle w:val="ECVLanguageLevel"/>
              <w:rPr>
                <w:color w:val="0E4194"/>
                <w:sz w:val="14"/>
              </w:rPr>
            </w:pPr>
            <w:r w:rsidRPr="00433C87">
              <w:rPr>
                <w:color w:val="0E4194"/>
                <w:sz w:val="14"/>
              </w:rPr>
              <w:t>ANALYTICAL WRITING</w:t>
            </w:r>
          </w:p>
        </w:tc>
      </w:tr>
      <w:tr w:rsidR="000B454F" w:rsidRPr="00505F92" w14:paraId="613CAAB9" w14:textId="77777777" w:rsidTr="00B11471">
        <w:trPr>
          <w:cantSplit/>
          <w:trHeight w:val="190"/>
        </w:trPr>
        <w:tc>
          <w:tcPr>
            <w:tcW w:w="1440" w:type="dxa"/>
            <w:vMerge/>
            <w:tcBorders>
              <w:bottom w:val="single" w:sz="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6B64568" w14:textId="77777777" w:rsidR="000B454F" w:rsidRPr="00505F92" w:rsidRDefault="000B454F" w:rsidP="00433C87">
            <w:pPr>
              <w:rPr>
                <w:sz w:val="12"/>
              </w:rPr>
            </w:pPr>
          </w:p>
        </w:tc>
        <w:tc>
          <w:tcPr>
            <w:tcW w:w="1930" w:type="dxa"/>
            <w:gridSpan w:val="2"/>
            <w:tcBorders>
              <w:left w:val="single" w:sz="18" w:space="0" w:color="D0CECE" w:themeColor="background2" w:themeShade="E6"/>
              <w:bottom w:val="single" w:sz="4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29917AC7" w14:textId="77777777" w:rsidR="000B454F" w:rsidRPr="008C35E0" w:rsidRDefault="000B454F" w:rsidP="00433C87">
            <w:pPr>
              <w:jc w:val="center"/>
            </w:pPr>
            <w:r w:rsidRPr="008C35E0">
              <w:t>326/340</w:t>
            </w:r>
          </w:p>
        </w:tc>
        <w:tc>
          <w:tcPr>
            <w:tcW w:w="1744" w:type="dxa"/>
            <w:tcBorders>
              <w:left w:val="single" w:sz="18" w:space="0" w:color="D0CECE" w:themeColor="background2" w:themeShade="E6"/>
              <w:bottom w:val="single" w:sz="4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4D1FEF85" w14:textId="77777777" w:rsidR="000B454F" w:rsidRPr="008C35E0" w:rsidRDefault="000B454F" w:rsidP="00433C87">
            <w:pPr>
              <w:jc w:val="center"/>
            </w:pPr>
            <w:r w:rsidRPr="008C35E0">
              <w:t>156/170</w:t>
            </w:r>
          </w:p>
        </w:tc>
        <w:tc>
          <w:tcPr>
            <w:tcW w:w="1901" w:type="dxa"/>
            <w:gridSpan w:val="2"/>
            <w:tcBorders>
              <w:left w:val="single" w:sz="8" w:space="0" w:color="D0CECE" w:themeColor="background2" w:themeShade="E6"/>
              <w:bottom w:val="single" w:sz="4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5D34A93E" w14:textId="77777777" w:rsidR="000B454F" w:rsidRPr="008C35E0" w:rsidRDefault="000B454F" w:rsidP="00433C87">
            <w:pPr>
              <w:jc w:val="center"/>
            </w:pPr>
            <w:r w:rsidRPr="008C35E0">
              <w:t>170/170</w:t>
            </w:r>
          </w:p>
        </w:tc>
        <w:tc>
          <w:tcPr>
            <w:tcW w:w="1805" w:type="dxa"/>
            <w:gridSpan w:val="3"/>
            <w:tcBorders>
              <w:left w:val="single" w:sz="8" w:space="0" w:color="D0CECE" w:themeColor="background2" w:themeShade="E6"/>
              <w:bottom w:val="single" w:sz="4" w:space="0" w:color="C0C0C0"/>
            </w:tcBorders>
            <w:shd w:val="clear" w:color="auto" w:fill="auto"/>
            <w:vAlign w:val="center"/>
          </w:tcPr>
          <w:p w14:paraId="484D86E4" w14:textId="77777777" w:rsidR="000B454F" w:rsidRPr="008C35E0" w:rsidRDefault="000B454F" w:rsidP="00433C87">
            <w:pPr>
              <w:jc w:val="center"/>
            </w:pPr>
            <w:r w:rsidRPr="008C35E0">
              <w:t>4.5/6</w:t>
            </w:r>
          </w:p>
        </w:tc>
      </w:tr>
    </w:tbl>
    <w:tbl>
      <w:tblPr>
        <w:tblpPr w:topFromText="6" w:bottomFromText="170" w:vertAnchor="text" w:horzAnchor="margin" w:tblpY="981"/>
        <w:tblW w:w="10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7567"/>
      </w:tblGrid>
      <w:tr w:rsidR="00433C87" w14:paraId="208B9C9D" w14:textId="77777777" w:rsidTr="00433C87">
        <w:trPr>
          <w:cantSplit/>
          <w:trHeight w:val="1440"/>
        </w:trPr>
        <w:tc>
          <w:tcPr>
            <w:tcW w:w="2843" w:type="dxa"/>
            <w:shd w:val="clear" w:color="auto" w:fill="auto"/>
          </w:tcPr>
          <w:p w14:paraId="0E2105B4" w14:textId="77777777" w:rsidR="00433C87" w:rsidRDefault="00433C87" w:rsidP="00433C87">
            <w:pPr>
              <w:pStyle w:val="ECVLeftDetails"/>
            </w:pPr>
            <w:r>
              <w:t>Teaching Experience</w:t>
            </w:r>
          </w:p>
          <w:p w14:paraId="23E47939" w14:textId="77777777" w:rsidR="00433C87" w:rsidRDefault="00433C87" w:rsidP="00433C87">
            <w:pPr>
              <w:pStyle w:val="ECVLeftDetails"/>
            </w:pPr>
            <w:r>
              <w:t>Scholastic</w:t>
            </w:r>
          </w:p>
          <w:p w14:paraId="0F0B4757" w14:textId="77777777" w:rsidR="00433C87" w:rsidRDefault="00433C87" w:rsidP="00433C87">
            <w:pPr>
              <w:pStyle w:val="ECVLeftDetails"/>
            </w:pPr>
          </w:p>
          <w:p w14:paraId="3EBCA0F5" w14:textId="77777777" w:rsidR="00433C87" w:rsidRDefault="00433C87" w:rsidP="00433C87">
            <w:pPr>
              <w:pStyle w:val="ECVLeftDetails"/>
            </w:pPr>
            <w:r>
              <w:t>Language skills</w:t>
            </w:r>
          </w:p>
          <w:p w14:paraId="6577B45D" w14:textId="77777777" w:rsidR="00433C87" w:rsidRDefault="00433C87" w:rsidP="00433C87">
            <w:pPr>
              <w:pStyle w:val="ECVLeftDetails"/>
            </w:pPr>
          </w:p>
          <w:p w14:paraId="3C4F3A10" w14:textId="77777777" w:rsidR="00433C87" w:rsidRDefault="00433C87" w:rsidP="00433C87">
            <w:pPr>
              <w:pStyle w:val="ECVLeftDetails"/>
            </w:pPr>
            <w:r>
              <w:t>Extra-curricular</w:t>
            </w:r>
          </w:p>
          <w:p w14:paraId="46734F54" w14:textId="77777777" w:rsidR="00433C87" w:rsidRDefault="00433C87" w:rsidP="00433C87">
            <w:pPr>
              <w:pStyle w:val="ECVLeftDetails"/>
              <w:jc w:val="left"/>
            </w:pPr>
          </w:p>
        </w:tc>
        <w:tc>
          <w:tcPr>
            <w:tcW w:w="7567" w:type="dxa"/>
            <w:shd w:val="clear" w:color="auto" w:fill="auto"/>
          </w:tcPr>
          <w:p w14:paraId="50B72959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 w:rsidRPr="006C1CA1">
              <w:t>Worked as a Teaching Assista</w:t>
            </w:r>
            <w:r>
              <w:t>nt in two undergraduate</w:t>
            </w:r>
            <w:r w:rsidRPr="006C1CA1">
              <w:t xml:space="preserve"> </w:t>
            </w:r>
            <w:r>
              <w:t>courses</w:t>
            </w:r>
            <w:r w:rsidRPr="006C1CA1">
              <w:t>, IIT-B</w:t>
            </w:r>
            <w:r>
              <w:t xml:space="preserve">ombay                     </w:t>
            </w:r>
            <w:r>
              <w:rPr>
                <w:sz w:val="4"/>
              </w:rPr>
              <w:t xml:space="preserve">         </w:t>
            </w:r>
            <w:r>
              <w:t>[2014-2015]</w:t>
            </w:r>
          </w:p>
          <w:p w14:paraId="1DBA2163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 xml:space="preserve">Student Exchange Program to </w:t>
            </w:r>
            <w:r w:rsidRPr="00AF56D5">
              <w:t>Global Indian International School, Singapore</w:t>
            </w:r>
            <w:r>
              <w:t xml:space="preserve">                             </w:t>
            </w:r>
            <w:r>
              <w:rPr>
                <w:sz w:val="6"/>
              </w:rPr>
              <w:t xml:space="preserve">   </w:t>
            </w:r>
            <w:r>
              <w:t>[2009]</w:t>
            </w:r>
          </w:p>
          <w:p w14:paraId="089F9594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>Selected for National L</w:t>
            </w:r>
            <w:r w:rsidRPr="009A4992">
              <w:t>evel Junior Science/Math Olympiad conducted by HBCSE</w:t>
            </w:r>
            <w:r>
              <w:t xml:space="preserve">                      [2006]</w:t>
            </w:r>
          </w:p>
          <w:p w14:paraId="6D3A1499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 xml:space="preserve">Elementary German Language Proficiency </w:t>
            </w:r>
            <w:r w:rsidRPr="000B454F">
              <w:rPr>
                <w:i/>
              </w:rPr>
              <w:t>(currently pursuing)</w:t>
            </w:r>
            <w:r>
              <w:t xml:space="preserve">                                                    </w:t>
            </w:r>
            <w:r>
              <w:rPr>
                <w:sz w:val="2"/>
              </w:rPr>
              <w:t xml:space="preserve">   </w:t>
            </w:r>
            <w:r>
              <w:rPr>
                <w:sz w:val="10"/>
              </w:rPr>
              <w:t xml:space="preserve"> </w:t>
            </w:r>
            <w:r>
              <w:t>[2018]</w:t>
            </w:r>
          </w:p>
          <w:p w14:paraId="68351682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 w:rsidRPr="006C1CA1">
              <w:t>Elementary Japanese Language Proficiency; completed 50 hrs module</w:t>
            </w:r>
            <w:r>
              <w:t xml:space="preserve">                                      </w:t>
            </w:r>
            <w:r>
              <w:rPr>
                <w:sz w:val="6"/>
              </w:rPr>
              <w:t xml:space="preserve">  </w:t>
            </w:r>
            <w:r>
              <w:t>[2013]</w:t>
            </w:r>
          </w:p>
          <w:p w14:paraId="57AD6CD7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>3</w:t>
            </w:r>
            <w:r w:rsidRPr="008C0858">
              <w:rPr>
                <w:vertAlign w:val="superscript"/>
              </w:rPr>
              <w:t>rd</w:t>
            </w:r>
            <w:r>
              <w:t xml:space="preserve"> position in National level Musical Band Event ’Mantra’ in Mood Indigo                                     [2013]</w:t>
            </w:r>
          </w:p>
          <w:p w14:paraId="3335585C" w14:textId="77777777" w:rsidR="00433C87" w:rsidRPr="0058624D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>1</w:t>
            </w:r>
            <w:r w:rsidRPr="008C0858">
              <w:rPr>
                <w:vertAlign w:val="superscript"/>
              </w:rPr>
              <w:t>st</w:t>
            </w:r>
            <w:r>
              <w:t xml:space="preserve"> place in Keyboard competition in All-India Inter AEES youth festival                                         [2007]</w:t>
            </w:r>
          </w:p>
        </w:tc>
      </w:tr>
    </w:tbl>
    <w:p w14:paraId="30F4F705" w14:textId="77777777" w:rsidR="00505F92" w:rsidRDefault="00505F92">
      <w:pPr>
        <w:pStyle w:val="ECVText"/>
      </w:pPr>
    </w:p>
    <w:p w14:paraId="55AC728A" w14:textId="3D156787" w:rsidR="00B53154" w:rsidRPr="00B37EDC" w:rsidRDefault="00B53154" w:rsidP="00B37EDC">
      <w:pPr>
        <w:rPr>
          <w:vanish/>
          <w:kern w:val="16"/>
        </w:rPr>
      </w:pPr>
    </w:p>
    <w:sectPr w:rsidR="00B53154" w:rsidRPr="00B37EDC" w:rsidSect="00542A4E"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C5303" w14:textId="77777777" w:rsidR="00581FB1" w:rsidRDefault="00581FB1">
      <w:r>
        <w:separator/>
      </w:r>
    </w:p>
  </w:endnote>
  <w:endnote w:type="continuationSeparator" w:id="0">
    <w:p w14:paraId="3D862953" w14:textId="77777777" w:rsidR="00581FB1" w:rsidRDefault="0058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2E6F4" w14:textId="0C4A599E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E5574" w14:textId="77777777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81AA7" w14:textId="77777777" w:rsidR="00581FB1" w:rsidRDefault="00581FB1">
      <w:r>
        <w:separator/>
      </w:r>
    </w:p>
  </w:footnote>
  <w:footnote w:type="continuationSeparator" w:id="0">
    <w:p w14:paraId="76C3A1A5" w14:textId="77777777" w:rsidR="00581FB1" w:rsidRDefault="00581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69C83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" w15:restartNumberingAfterBreak="0">
    <w:nsid w:val="0FE14FA8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4" w15:restartNumberingAfterBreak="0">
    <w:nsid w:val="227A698C"/>
    <w:multiLevelType w:val="hybridMultilevel"/>
    <w:tmpl w:val="1C2C3936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3E5305C"/>
    <w:multiLevelType w:val="hybridMultilevel"/>
    <w:tmpl w:val="BDB69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72AC7"/>
    <w:multiLevelType w:val="hybridMultilevel"/>
    <w:tmpl w:val="9F28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005872"/>
    <w:rsid w:val="0001133B"/>
    <w:rsid w:val="0002033F"/>
    <w:rsid w:val="0003485C"/>
    <w:rsid w:val="00042A68"/>
    <w:rsid w:val="0005454D"/>
    <w:rsid w:val="000569B3"/>
    <w:rsid w:val="00073462"/>
    <w:rsid w:val="00090446"/>
    <w:rsid w:val="000916E4"/>
    <w:rsid w:val="00097F31"/>
    <w:rsid w:val="000A1CD7"/>
    <w:rsid w:val="000A5140"/>
    <w:rsid w:val="000A6013"/>
    <w:rsid w:val="000A6D36"/>
    <w:rsid w:val="000B454F"/>
    <w:rsid w:val="000C4C71"/>
    <w:rsid w:val="000E47DC"/>
    <w:rsid w:val="000F0BF2"/>
    <w:rsid w:val="00117E91"/>
    <w:rsid w:val="0012134E"/>
    <w:rsid w:val="0014071C"/>
    <w:rsid w:val="001462FB"/>
    <w:rsid w:val="001560A3"/>
    <w:rsid w:val="00163652"/>
    <w:rsid w:val="001748AF"/>
    <w:rsid w:val="00180954"/>
    <w:rsid w:val="001A128E"/>
    <w:rsid w:val="001A14A3"/>
    <w:rsid w:val="001A5B0A"/>
    <w:rsid w:val="001B10E8"/>
    <w:rsid w:val="001B7CBF"/>
    <w:rsid w:val="001C79BB"/>
    <w:rsid w:val="0020237B"/>
    <w:rsid w:val="00217BD8"/>
    <w:rsid w:val="00222044"/>
    <w:rsid w:val="00223199"/>
    <w:rsid w:val="0022757E"/>
    <w:rsid w:val="0023722F"/>
    <w:rsid w:val="00244E85"/>
    <w:rsid w:val="0027514B"/>
    <w:rsid w:val="00287196"/>
    <w:rsid w:val="00292903"/>
    <w:rsid w:val="002A0F1D"/>
    <w:rsid w:val="002D2C24"/>
    <w:rsid w:val="002E5EFF"/>
    <w:rsid w:val="002E6475"/>
    <w:rsid w:val="002F314E"/>
    <w:rsid w:val="002F6D48"/>
    <w:rsid w:val="00300A26"/>
    <w:rsid w:val="00320361"/>
    <w:rsid w:val="00324BF4"/>
    <w:rsid w:val="00332891"/>
    <w:rsid w:val="00340C39"/>
    <w:rsid w:val="00355655"/>
    <w:rsid w:val="003714C0"/>
    <w:rsid w:val="00381801"/>
    <w:rsid w:val="0039540F"/>
    <w:rsid w:val="003A191B"/>
    <w:rsid w:val="003A26CA"/>
    <w:rsid w:val="003A7E1C"/>
    <w:rsid w:val="003C0FDE"/>
    <w:rsid w:val="003C41CB"/>
    <w:rsid w:val="003D63CF"/>
    <w:rsid w:val="003E13BE"/>
    <w:rsid w:val="00401997"/>
    <w:rsid w:val="00402565"/>
    <w:rsid w:val="004105A9"/>
    <w:rsid w:val="0041734B"/>
    <w:rsid w:val="00433C87"/>
    <w:rsid w:val="004340C1"/>
    <w:rsid w:val="00434959"/>
    <w:rsid w:val="004440F4"/>
    <w:rsid w:val="00463926"/>
    <w:rsid w:val="00470A5C"/>
    <w:rsid w:val="00487E1A"/>
    <w:rsid w:val="004A7431"/>
    <w:rsid w:val="004B24D1"/>
    <w:rsid w:val="004B5843"/>
    <w:rsid w:val="004D308F"/>
    <w:rsid w:val="004E2D0E"/>
    <w:rsid w:val="004F51EE"/>
    <w:rsid w:val="00505F92"/>
    <w:rsid w:val="00510103"/>
    <w:rsid w:val="00542A4E"/>
    <w:rsid w:val="00581FB1"/>
    <w:rsid w:val="0058624D"/>
    <w:rsid w:val="005A1A45"/>
    <w:rsid w:val="005B067E"/>
    <w:rsid w:val="005B3FE7"/>
    <w:rsid w:val="005B48C0"/>
    <w:rsid w:val="005C77B6"/>
    <w:rsid w:val="005F176C"/>
    <w:rsid w:val="006208A1"/>
    <w:rsid w:val="00637642"/>
    <w:rsid w:val="00645038"/>
    <w:rsid w:val="00645888"/>
    <w:rsid w:val="00663118"/>
    <w:rsid w:val="006801DD"/>
    <w:rsid w:val="006833B8"/>
    <w:rsid w:val="00691A80"/>
    <w:rsid w:val="006966F1"/>
    <w:rsid w:val="006A001E"/>
    <w:rsid w:val="006A5F70"/>
    <w:rsid w:val="006A62CF"/>
    <w:rsid w:val="006B0AF2"/>
    <w:rsid w:val="006B1F3D"/>
    <w:rsid w:val="006C1CA1"/>
    <w:rsid w:val="006C38BF"/>
    <w:rsid w:val="006C4A6D"/>
    <w:rsid w:val="006C6381"/>
    <w:rsid w:val="006F3239"/>
    <w:rsid w:val="006F5442"/>
    <w:rsid w:val="00737509"/>
    <w:rsid w:val="00740426"/>
    <w:rsid w:val="00744E99"/>
    <w:rsid w:val="00764BBE"/>
    <w:rsid w:val="00765248"/>
    <w:rsid w:val="0076727C"/>
    <w:rsid w:val="007842B6"/>
    <w:rsid w:val="007B0D46"/>
    <w:rsid w:val="007B2169"/>
    <w:rsid w:val="007B75C4"/>
    <w:rsid w:val="007C566D"/>
    <w:rsid w:val="007E1EA5"/>
    <w:rsid w:val="007F4851"/>
    <w:rsid w:val="00804801"/>
    <w:rsid w:val="0081347B"/>
    <w:rsid w:val="008231FA"/>
    <w:rsid w:val="00867438"/>
    <w:rsid w:val="0086779A"/>
    <w:rsid w:val="00873805"/>
    <w:rsid w:val="00890DE2"/>
    <w:rsid w:val="0089386B"/>
    <w:rsid w:val="008C0858"/>
    <w:rsid w:val="008C35E0"/>
    <w:rsid w:val="008D5577"/>
    <w:rsid w:val="008E4DB8"/>
    <w:rsid w:val="008E65F1"/>
    <w:rsid w:val="00903D31"/>
    <w:rsid w:val="00904690"/>
    <w:rsid w:val="00915AE1"/>
    <w:rsid w:val="00916185"/>
    <w:rsid w:val="009162A9"/>
    <w:rsid w:val="0093268C"/>
    <w:rsid w:val="00945016"/>
    <w:rsid w:val="00946D34"/>
    <w:rsid w:val="0095026B"/>
    <w:rsid w:val="00953FE9"/>
    <w:rsid w:val="00960C35"/>
    <w:rsid w:val="00967059"/>
    <w:rsid w:val="00975E37"/>
    <w:rsid w:val="0099687C"/>
    <w:rsid w:val="009A386C"/>
    <w:rsid w:val="009A4992"/>
    <w:rsid w:val="009C3641"/>
    <w:rsid w:val="009E2DDD"/>
    <w:rsid w:val="009E5619"/>
    <w:rsid w:val="009E6B78"/>
    <w:rsid w:val="009F6756"/>
    <w:rsid w:val="00A024B0"/>
    <w:rsid w:val="00A0652D"/>
    <w:rsid w:val="00A35F79"/>
    <w:rsid w:val="00A52849"/>
    <w:rsid w:val="00A546DA"/>
    <w:rsid w:val="00A73E28"/>
    <w:rsid w:val="00A804B2"/>
    <w:rsid w:val="00A86205"/>
    <w:rsid w:val="00A879AE"/>
    <w:rsid w:val="00A90AD6"/>
    <w:rsid w:val="00A96B0E"/>
    <w:rsid w:val="00AB4A54"/>
    <w:rsid w:val="00AC3B80"/>
    <w:rsid w:val="00AD263B"/>
    <w:rsid w:val="00AD5B7D"/>
    <w:rsid w:val="00AF56D5"/>
    <w:rsid w:val="00B11471"/>
    <w:rsid w:val="00B254B0"/>
    <w:rsid w:val="00B35A8B"/>
    <w:rsid w:val="00B37EDC"/>
    <w:rsid w:val="00B46376"/>
    <w:rsid w:val="00B527F5"/>
    <w:rsid w:val="00B53154"/>
    <w:rsid w:val="00B54F1D"/>
    <w:rsid w:val="00B92423"/>
    <w:rsid w:val="00BA182C"/>
    <w:rsid w:val="00BA2093"/>
    <w:rsid w:val="00BA70DE"/>
    <w:rsid w:val="00BD285B"/>
    <w:rsid w:val="00BE0B3D"/>
    <w:rsid w:val="00BE206E"/>
    <w:rsid w:val="00C13826"/>
    <w:rsid w:val="00C21E91"/>
    <w:rsid w:val="00C269FF"/>
    <w:rsid w:val="00C61DA1"/>
    <w:rsid w:val="00C90EBD"/>
    <w:rsid w:val="00CA362A"/>
    <w:rsid w:val="00CB0A13"/>
    <w:rsid w:val="00CB2EE4"/>
    <w:rsid w:val="00CE69E7"/>
    <w:rsid w:val="00D0020B"/>
    <w:rsid w:val="00D006D1"/>
    <w:rsid w:val="00D02056"/>
    <w:rsid w:val="00D03F7E"/>
    <w:rsid w:val="00D058BF"/>
    <w:rsid w:val="00D06BD4"/>
    <w:rsid w:val="00D16E3F"/>
    <w:rsid w:val="00D56EEA"/>
    <w:rsid w:val="00D611D9"/>
    <w:rsid w:val="00D6766D"/>
    <w:rsid w:val="00D76373"/>
    <w:rsid w:val="00D84BF4"/>
    <w:rsid w:val="00D94D6E"/>
    <w:rsid w:val="00DB56A5"/>
    <w:rsid w:val="00DC173E"/>
    <w:rsid w:val="00DC1E76"/>
    <w:rsid w:val="00DC762A"/>
    <w:rsid w:val="00DE0125"/>
    <w:rsid w:val="00DE4B15"/>
    <w:rsid w:val="00DF3AF8"/>
    <w:rsid w:val="00E02A68"/>
    <w:rsid w:val="00E108E9"/>
    <w:rsid w:val="00E17AC4"/>
    <w:rsid w:val="00E3190B"/>
    <w:rsid w:val="00E349E0"/>
    <w:rsid w:val="00E3506D"/>
    <w:rsid w:val="00E379E1"/>
    <w:rsid w:val="00E4473A"/>
    <w:rsid w:val="00E6211E"/>
    <w:rsid w:val="00E83CBE"/>
    <w:rsid w:val="00EA0BB2"/>
    <w:rsid w:val="00EB3160"/>
    <w:rsid w:val="00EC4C6C"/>
    <w:rsid w:val="00ED14C7"/>
    <w:rsid w:val="00ED1D2F"/>
    <w:rsid w:val="00ED218B"/>
    <w:rsid w:val="00EE2A07"/>
    <w:rsid w:val="00EF02AF"/>
    <w:rsid w:val="00EF693B"/>
    <w:rsid w:val="00F17C98"/>
    <w:rsid w:val="00F52AFD"/>
    <w:rsid w:val="00F63C86"/>
    <w:rsid w:val="00F86A4E"/>
    <w:rsid w:val="00F87F03"/>
    <w:rsid w:val="00F9165C"/>
    <w:rsid w:val="00F96EF4"/>
    <w:rsid w:val="00FA6CAF"/>
    <w:rsid w:val="00FC01E2"/>
    <w:rsid w:val="00FD2517"/>
    <w:rsid w:val="00FD573D"/>
    <w:rsid w:val="00FE3735"/>
    <w:rsid w:val="00FE536A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24CC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ranavsudersan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6121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Pranav Sudersan</dc:creator>
  <cp:keywords>Europass, CV, Cedefop</cp:keywords>
  <dc:description>Europass CV</dc:description>
  <cp:lastModifiedBy>Windows User</cp:lastModifiedBy>
  <cp:revision>19</cp:revision>
  <cp:lastPrinted>2018-12-05T10:34:00Z</cp:lastPrinted>
  <dcterms:created xsi:type="dcterms:W3CDTF">2018-08-14T14:05:00Z</dcterms:created>
  <dcterms:modified xsi:type="dcterms:W3CDTF">2018-12-05T10:34:00Z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