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Framework for AI-Driven Campus Placement Systems: Data Engineering, Stakeholder Orchestration, and Iterative Implementation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transition from manual, spreadsheet-based placement management to automated, AI-driven ecosystems represents a fundamental shift in the technical education sector. This transformation is necessitated by a profound structural misalignment between student professional activity and institutional awareness.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engineering graduates increasingly demonstrate technical proficiency through independent platforms like LeetCode and GitHub, university departments often remain oblivious to these milestones, leading to a "visibility gap" that diminishes institutional brand value and student employability.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an environment where 47% of Indian graduates are considered "unemployable" by industry standards—not due to lack of ability, but due to poor skill presentation—the role of a unified digital infrastructure becomes critical.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market for such solutions is expanding rapidly. The global campus recruiting software market is valued at approximately USD 2.8 billion in 2024 and is projected to reach USD 7.5 billion by 2033, exhibiting a compound annual growth rate of 10.3%.</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growth is fueled by regulatory mandates such as the National Education Policy 2020 and the National Institutional Ranking Framework (NIRF), which assigns a 20% weightage to graduation outcomes.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a university, the return on investment for adopting such a platform is not merely administrative; it is tied directly to enrollment growth and institutional prestige, which can be quantified through specific ROI modeling.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Analysis of the Placement Automation Workflow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provided flowchart delineates a sophisticated four-tier ecosystem comprising the Student (Blue), TPO Admin (Green), Recruiter (Purple), and System Logic/Database (Grey) layers. Each layer serves as a critical junction for data generation and verification, ensuring that the final output—a placed student—is the result of a validated, high-integrity pipeline.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Student and TPO Administrative Interface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student layer, the workflow begins at the dashboard, progressing through profile completion and resume upload. A critical bottleneck identified in the flowchart is the "Profile Verification Pending" stage, which requires Training and Placement Office (TPO) intervention.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reflects the "secret sauce" of successful platforms like Superset, where the university acts as a gatekeeper to create a trust layer that open job boards lack.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TPO Admin layer manages the ingestion of student data—often via Excel imports from official registries—and performs the verification of student profiles against physical academic transcripts.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Stakeholder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Workflow 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Contribution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Verification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Student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Profile Completion &amp; Resume Upload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Personal details, skills, project links, certificates.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Self-declaration.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TPO Admin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Verification &amp; Approval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Official CGPA, attendance, history of backlogs.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Primary validator (Single Source of Truth).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Recruiter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Job Posting &amp; Applicant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Job descriptions, eligibility rules, assessment scores.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Final quality gatekeeper.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System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Eligibility Matching &amp; 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Automated shortlisting, performance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Algorithmic enforcer.</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Recruiter Engagement and System Intelligence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recruiter layer facilitates the posting of new jobs with specific criteria such as CGPA, branch, and package. The "Eligibility Check Engine" within the system logic layer serves as the algorithmic enforcer, automatically matching candidate profiles against these criteria to generate verified shortlists.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automation replaces the "manual madness" of sorting through spreadsheets, which can consume up to 70% of a placement officer's time.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feedback loop is closed when recruiters conduct interviews and mark candidates as "Offered" or "Placed," which in turn updates the analytics engine and the institutional database.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Data Acquisition and Sourcing Requirements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fundamental concern in training a recruitment prediction model is the provenance of the data. The objective is to achieve high predictive accuracy while minimizing "noise" or fraudulent claims that can poison the model's decision-making logic.</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Case for TPO-Verified Data Sourcing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Gathering data through the TPO rather than from final-year students directly or from random students at other colleges is the only viable strategy for an enterprise-level AI system. Data sourced from students via unverified Google Forms is highly susceptible to "resume padding," where individuals inflate skills or omit negative academic indicators like backlogs to pass initial screenings.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Research indicates that self-reported data typically underestimates negative traits and overestimates positive ones, creating a skewed dataset that teaches the model incorrect patterns.</w:t>
      </w:r>
      <w:r w:rsidDel="00000000" w:rsidR="00000000" w:rsidRPr="00000000">
        <w:rPr>
          <w:rFonts w:ascii="Google Sans Text" w:cs="Google Sans Text" w:eastAsia="Google Sans Text" w:hAnsi="Google Sans Text"/>
          <w:color w:val="444746"/>
          <w:sz w:val="24"/>
          <w:szCs w:val="24"/>
          <w:vertAlign w:val="superscript"/>
          <w:rtl w:val="0"/>
        </w:rPr>
        <w:t xml:space="preserve">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Sourcing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Reliability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Risk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TPO-Official Registry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Accurate decision boundaries; high precision.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Verified Student Profiles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Robust features with a human-in-the-loop audit.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Unverified Google 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Noise pollution; biased predictions; hallucinations.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Random External Sourcing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Dataset poisoning; poor generalization to local context.</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Using the TPO as the primary source ensures access to the "Single Source of Truth." This includes immutable records such as verified CGPA, 10th and 12th-grade marks, and history of backlogs, which are essential for the baseline accuracy of any placement prediction model.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sourcing through the TPO provides the institutional backing necessary to obtain sensitive demographic and academic data while complying with the Digital Personal Data Protection (DPDP) Act 2023.</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Risks of External and Random Data Sourcing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Collecting data from other colleges randomly introduces "representation bias." Each institution has a unique "placement culture," varying curricula, and distinct relationships with recruiters. Training a model on data from College A to predict outcomes at College B without controlling for these institutional variables leads to poor generalization.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Furthermore, random sourcing lacks the "ground truth" of verified outcomes, as there is no official mechanism to confirm if a randomly surveyed student actually secured the package they claimed.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Data Requirements for Model Training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construct a high-performance placement predictor, the training dataset must be multidimensional, covering academic, technical, behavioral, and demographic features. This enables algorithms such as Random Forest or Support Vector Machines to identify non-linear relationships between variables.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and Foundational Metrics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Academic performance remains a primary filter for mass recruiters and top-tier MNCs. The model must ingest:</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Official CGPA:</w:t>
      </w:r>
      <w:r w:rsidDel="00000000" w:rsidR="00000000" w:rsidRPr="00000000">
        <w:rPr>
          <w:rFonts w:ascii="Google Sans Text" w:cs="Google Sans Text" w:eastAsia="Google Sans Text" w:hAnsi="Google Sans Text"/>
          <w:color w:val="1f1f1f"/>
          <w:rtl w:val="0"/>
        </w:rPr>
        <w:t xml:space="preserve"> Continuous numerical values representing consistent academic performance.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Standardized Test Scores:</w:t>
      </w:r>
      <w:r w:rsidDel="00000000" w:rsidR="00000000" w:rsidRPr="00000000">
        <w:rPr>
          <w:rFonts w:ascii="Google Sans Text" w:cs="Google Sans Text" w:eastAsia="Google Sans Text" w:hAnsi="Google Sans Text"/>
          <w:color w:val="1f1f1f"/>
          <w:rtl w:val="0"/>
        </w:rPr>
        <w:t xml:space="preserve"> 10th and 12th-grade percentages and the associated educational boards.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Backlog History:</w:t>
      </w:r>
      <w:r w:rsidDel="00000000" w:rsidR="00000000" w:rsidRPr="00000000">
        <w:rPr>
          <w:rFonts w:ascii="Google Sans Text" w:cs="Google Sans Text" w:eastAsia="Google Sans Text" w:hAnsi="Google Sans Text"/>
          <w:color w:val="1f1f1f"/>
          <w:rtl w:val="0"/>
        </w:rPr>
        <w:t xml:space="preserve"> A binary or count-based feature indicating academic failures, which is often a "hard" rejection criterion.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Branch/Specialization:</w:t>
      </w:r>
      <w:r w:rsidDel="00000000" w:rsidR="00000000" w:rsidRPr="00000000">
        <w:rPr>
          <w:rFonts w:ascii="Google Sans Text" w:cs="Google Sans Text" w:eastAsia="Google Sans Text" w:hAnsi="Google Sans Text"/>
          <w:color w:val="1f1f1f"/>
          <w:rtl w:val="0"/>
        </w:rPr>
        <w:t xml:space="preserve"> Categorical data identifying the student's field of study, which heavily influences placement likelihood in specific sectors like IT or Core Engineering.</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Technical Proof-of-Work Metrics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unique value proposition of an AI placement platform lies in its ability to quantify extracurricular technical agility. This data must be pulled via API integrations to prevent falsification.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LeetCode Performance:</w:t>
      </w:r>
      <w:r w:rsidDel="00000000" w:rsidR="00000000" w:rsidRPr="00000000">
        <w:rPr>
          <w:rFonts w:ascii="Google Sans Text" w:cs="Google Sans Text" w:eastAsia="Google Sans Text" w:hAnsi="Google Sans Text"/>
          <w:color w:val="1f1f1f"/>
          <w:rtl w:val="0"/>
        </w:rPr>
        <w:t xml:space="preserve"> Retrieval of submission history, badges, and problem splits (Easy/Medium/Hard) using GraphQL queries.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visualization indicates "interview readiness" better than a simple problem count.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Codeforces Ratings:</w:t>
      </w:r>
      <w:r w:rsidDel="00000000" w:rsidR="00000000" w:rsidRPr="00000000">
        <w:rPr>
          <w:rFonts w:ascii="Google Sans Text" w:cs="Google Sans Text" w:eastAsia="Google Sans Text" w:hAnsi="Google Sans Text"/>
          <w:color w:val="1f1f1f"/>
          <w:rtl w:val="0"/>
        </w:rPr>
        <w:t xml:space="preserve"> Real-time access to user ranks and contest performance via the Codeforces API, which serves as a proxy for algorithmic proficiency.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GitHub Contribution Metrics:</w:t>
      </w:r>
      <w:r w:rsidDel="00000000" w:rsidR="00000000" w:rsidRPr="00000000">
        <w:rPr>
          <w:rFonts w:ascii="Google Sans Text" w:cs="Google Sans Text" w:eastAsia="Google Sans Text" w:hAnsi="Google Sans Text"/>
          <w:color w:val="1f1f1f"/>
          <w:rtl w:val="0"/>
        </w:rPr>
        <w:t xml:space="preserve"> Analysis of contribution heatmaps and repository impact, providing a verified view of a student’s open-source involvement.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and Soft Skill Indicators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Placement success is often determined by traits that are not captured in transcripts. The model should include:</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Aptitude Scores:</w:t>
      </w:r>
      <w:r w:rsidDel="00000000" w:rsidR="00000000" w:rsidRPr="00000000">
        <w:rPr>
          <w:rFonts w:ascii="Google Sans Text" w:cs="Google Sans Text" w:eastAsia="Google Sans Text" w:hAnsi="Google Sans Text"/>
          <w:color w:val="1f1f1f"/>
          <w:rtl w:val="0"/>
        </w:rPr>
        <w:t xml:space="preserve"> Performance in internal or external employability tests measuring logical, quantitative, and verbal reasoning.</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Communication Ratings:</w:t>
      </w:r>
      <w:r w:rsidDel="00000000" w:rsidR="00000000" w:rsidRPr="00000000">
        <w:rPr>
          <w:rFonts w:ascii="Google Sans Text" w:cs="Google Sans Text" w:eastAsia="Google Sans Text" w:hAnsi="Google Sans Text"/>
          <w:color w:val="1f1f1f"/>
          <w:rtl w:val="0"/>
        </w:rPr>
        <w:t xml:space="preserve"> Subjective but structured scores from mock interviews or language assessment modules.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Internship and Project Data:</w:t>
      </w:r>
      <w:r w:rsidDel="00000000" w:rsidR="00000000" w:rsidRPr="00000000">
        <w:rPr>
          <w:rFonts w:ascii="Google Sans Text" w:cs="Google Sans Text" w:eastAsia="Google Sans Text" w:hAnsi="Google Sans Text"/>
          <w:color w:val="1f1f1f"/>
          <w:rtl w:val="0"/>
        </w:rPr>
        <w:t xml:space="preserve"> Number and duration of internships, along with the complexity of projects, which serve as indicators of professional readiness.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Institutional Resistance: The Feedback-Development Loop</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user's challenge with the TPO clerk—who insists on a finished project before providing feedback—is a classic example of "Waterfall" thinking in a domain that requires an "Agile" approach. Completing the project without continuous feedback creates an "information silo," increasing the risk that the final product will fail to meet administrative needs or legal compliance standards.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Agile vs. Waterfall in University Projects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a Waterfall model, requirements are locked at the start, and feedback is provided only at the end. For a placement system, this is catastrophic because the "cost of change" increases exponentially as the project nears completion.</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If the TPO clerk eventually reveals that the system must strictly follow a specific NIRF reporting format that was not included in the initial build, reversing the architecture would be tedious and error-prone.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contrast, the Agile methodology prioritizes flexibility and iterative delivery through short cycles or "sprints." By involving the TPO as a "Product Owner" throughout the process, the development team can validate assumptions and pivot quickly if requirements change.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Strategies to Convince the TPO for Early Feedback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break the administrative deadlock, the team must demonstrate that providing feedback is a mechanism for "de-risking" the TPO's own operations.</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Demonstrate Clear ROI:</w:t>
      </w:r>
      <w:r w:rsidDel="00000000" w:rsidR="00000000" w:rsidRPr="00000000">
        <w:rPr>
          <w:rFonts w:ascii="Google Sans Text" w:cs="Google Sans Text" w:eastAsia="Google Sans Text" w:hAnsi="Google Sans Text"/>
          <w:color w:val="1f1f1f"/>
          <w:rtl w:val="0"/>
        </w:rPr>
        <w:t xml:space="preserve"> Frame the system as a tool to improve the college's NIRF and NAAC rankings.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Explain that the system's analytics engine automatically generates the reports that TPOs currently spend weeks compiling manually.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Utilize the Demo MVP:</w:t>
      </w:r>
      <w:r w:rsidDel="00000000" w:rsidR="00000000" w:rsidRPr="00000000">
        <w:rPr>
          <w:rFonts w:ascii="Google Sans Text" w:cs="Google Sans Text" w:eastAsia="Google Sans Text" w:hAnsi="Google Sans Text"/>
          <w:color w:val="1f1f1f"/>
          <w:rtl w:val="0"/>
        </w:rPr>
        <w:t xml:space="preserve"> Use the existing MVP to show, rather than tell, how the system works. A functional demo provides a "reality check" and makes it easier for the TPO to identify what is working and what needs adjustment.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Propose a Pilot Phase:</w:t>
      </w:r>
      <w:r w:rsidDel="00000000" w:rsidR="00000000" w:rsidRPr="00000000">
        <w:rPr>
          <w:rFonts w:ascii="Google Sans Text" w:cs="Google Sans Text" w:eastAsia="Google Sans Text" w:hAnsi="Google Sans Text"/>
          <w:color w:val="1f1f1f"/>
          <w:rtl w:val="0"/>
        </w:rPr>
        <w:t xml:space="preserve"> Instead of asking for a full-scale commitment, ask to run a "Proof of Concept" (PoC) with a single department.</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This lowers the perceived risk for the clerk and creates a controlled environment for testing and feedback.</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Identify Institutional Champions:</w:t>
      </w:r>
      <w:r w:rsidDel="00000000" w:rsidR="00000000" w:rsidRPr="00000000">
        <w:rPr>
          <w:rFonts w:ascii="Google Sans Text" w:cs="Google Sans Text" w:eastAsia="Google Sans Text" w:hAnsi="Google Sans Text"/>
          <w:color w:val="1f1f1f"/>
          <w:rtl w:val="0"/>
        </w:rPr>
        <w:t xml:space="preserve"> Find faculty members or department heads who are "Early Adopters" and can advocate for the platform to the TPO clerk.</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Peer influence within the university hierarchy is often more effective than external persuasion.</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and Operational Infrastructure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system must be built on a robust, scalable architecture that ensures data security and high availability during peak placement seasons.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Logic and Database Management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Logic &amp; DB" layer in the flowchart is the engine of the platform. It must manage:</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Relational Database:</w:t>
      </w:r>
      <w:r w:rsidDel="00000000" w:rsidR="00000000" w:rsidRPr="00000000">
        <w:rPr>
          <w:rFonts w:ascii="Google Sans Text" w:cs="Google Sans Text" w:eastAsia="Google Sans Text" w:hAnsi="Google Sans Text"/>
          <w:color w:val="1f1f1f"/>
          <w:rtl w:val="0"/>
        </w:rPr>
        <w:t xml:space="preserve"> Storing structured student profiles, job postings, and application histories.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Rules Engine:</w:t>
      </w:r>
      <w:r w:rsidDel="00000000" w:rsidR="00000000" w:rsidRPr="00000000">
        <w:rPr>
          <w:rFonts w:ascii="Google Sans Text" w:cs="Google Sans Text" w:eastAsia="Google Sans Text" w:hAnsi="Google Sans Text"/>
          <w:color w:val="1f1f1f"/>
          <w:rtl w:val="0"/>
        </w:rPr>
        <w:t xml:space="preserve"> Dynamically applying complex eligibility filters (e.g., combining branch, CGPA, and specific skill badges).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Notification Service:</w:t>
      </w:r>
      <w:r w:rsidDel="00000000" w:rsidR="00000000" w:rsidRPr="00000000">
        <w:rPr>
          <w:rFonts w:ascii="Google Sans Text" w:cs="Google Sans Text" w:eastAsia="Google Sans Text" w:hAnsi="Google Sans Text"/>
          <w:color w:val="1f1f1f"/>
          <w:rtl w:val="0"/>
        </w:rPr>
        <w:t xml:space="preserve"> Automated alerts via SMS, email, and mobile push to ensure students never miss an interview slot.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Analytics Engine:</w:t>
      </w:r>
      <w:r w:rsidDel="00000000" w:rsidR="00000000" w:rsidRPr="00000000">
        <w:rPr>
          <w:rFonts w:ascii="Google Sans Text" w:cs="Google Sans Text" w:eastAsia="Google Sans Text" w:hAnsi="Google Sans Text"/>
          <w:color w:val="1f1f1f"/>
          <w:rtl w:val="0"/>
        </w:rPr>
        <w:t xml:space="preserve"> Aggregating placement data to provide real-time dashboards for TPOs to monitor hiring trends and department performance.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Privacy and Ethical AI Considerations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Given the sensitivity of academic and personal data, the platform must adhere to strict data protection standards.</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DPDP Act Compliance:</w:t>
      </w:r>
      <w:r w:rsidDel="00000000" w:rsidR="00000000" w:rsidRPr="00000000">
        <w:rPr>
          <w:rFonts w:ascii="Google Sans Text" w:cs="Google Sans Text" w:eastAsia="Google Sans Text" w:hAnsi="Google Sans Text"/>
          <w:color w:val="1f1f1f"/>
          <w:rtl w:val="0"/>
        </w:rPr>
        <w:t xml:space="preserve"> Implementation of verifiable consent mechanisms and data erasure protocols.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Bias Mitigation:</w:t>
      </w:r>
      <w:r w:rsidDel="00000000" w:rsidR="00000000" w:rsidRPr="00000000">
        <w:rPr>
          <w:rFonts w:ascii="Google Sans Text" w:cs="Google Sans Text" w:eastAsia="Google Sans Text" w:hAnsi="Google Sans Text"/>
          <w:color w:val="1f1f1f"/>
          <w:rtl w:val="0"/>
        </w:rPr>
        <w:t xml:space="preserve"> Regular auditing of the AI model to ensure it does not unfairly penalize students based on gender, stream, or geographical background.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 Infrastructure:</w:t>
      </w:r>
      <w:r w:rsidDel="00000000" w:rsidR="00000000" w:rsidRPr="00000000">
        <w:rPr>
          <w:rFonts w:ascii="Google Sans Text" w:cs="Google Sans Text" w:eastAsia="Google Sans Text" w:hAnsi="Google Sans Text"/>
          <w:color w:val="1f1f1f"/>
          <w:rtl w:val="0"/>
        </w:rPr>
        <w:t xml:space="preserve"> Hosting on secure cloud environments (e.g., AWS VPC) with enterprise-grade encryption and ISO 27001 certification.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Feasibility and Brand Impact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Implementing an AI-driven placement platform is a strategic move for institutional branding. In the competitive landscape of Indian higher education, a university's reputation is inextricably linked to its placement statistics.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Achieving a few "Dream Offers" (e.g., package &gt; ₹30 LPA) can redefine a college's brand in the local market, attracting better talent and premium recruiters.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Impact of Automation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manual to automated systems yields quantifiable improvements in institutional efficiency.</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Manual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Automated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Improvement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Shortlisting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Days/Weeks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Seconds/Minutes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&gt;90% reduction.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Placement Process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Full Academic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 shorter.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 faster.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Placement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increase.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Significant ROI.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Admin Effort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 of TPO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&lt;10% of TPO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Strategic reallocation.</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university, this efficiency translates into a lower "Cost Per Enrolled Student" by boosting organic inquiries and reducing the need for aggressive marketing.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surfacing "Hidden Gems"—students who may have average CGPAs but exceptional coding streaks on LeetCode—the platform helps the college position its best talent for the highest-paying roles.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Actionable Roadmap</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development of a placement automation system is a high-impact venture that requires a meticulous approach to data sourcing and stakeholder management. To ensure the project's feasibility and accuracy, the following roadmap is recommended:</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Sourcing Policy:</w:t>
      </w:r>
      <w:r w:rsidDel="00000000" w:rsidR="00000000" w:rsidRPr="00000000">
        <w:rPr>
          <w:rFonts w:ascii="Google Sans Text" w:cs="Google Sans Text" w:eastAsia="Google Sans Text" w:hAnsi="Google Sans Text"/>
          <w:color w:val="1f1f1f"/>
          <w:rtl w:val="0"/>
        </w:rPr>
        <w:t xml:space="preserve"> Mandate that all training and operational data be sourced through the TPO's official registry or verified profile workflow. Reject unverified student surveys to prevent model hallucinations and biased predictions.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Technical Integration:</w:t>
      </w:r>
      <w:r w:rsidDel="00000000" w:rsidR="00000000" w:rsidRPr="00000000">
        <w:rPr>
          <w:rFonts w:ascii="Google Sans Text" w:cs="Google Sans Text" w:eastAsia="Google Sans Text" w:hAnsi="Google Sans Text"/>
          <w:color w:val="1f1f1f"/>
          <w:rtl w:val="0"/>
        </w:rPr>
        <w:t xml:space="preserve"> Implement API wrappers to ingest real-time coding streaks from LeetCode and GitHub. This ensures the model predicts placement based on technical agility rather than just academic history.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Stakeholder Engagement:</w:t>
      </w:r>
      <w:r w:rsidDel="00000000" w:rsidR="00000000" w:rsidRPr="00000000">
        <w:rPr>
          <w:rFonts w:ascii="Google Sans Text" w:cs="Google Sans Text" w:eastAsia="Google Sans Text" w:hAnsi="Google Sans Text"/>
          <w:color w:val="1f1f1f"/>
          <w:rtl w:val="0"/>
        </w:rPr>
        <w:t xml:space="preserve"> Use the existing demo MVP to initiate a "User Workshop" with the TPO. Reframe their role as "Co-Creators" in an Agile development cycle, emphasizing the ROI and administrative relief the system will provide.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Phased Implementation:</w:t>
      </w:r>
      <w:r w:rsidDel="00000000" w:rsidR="00000000" w:rsidRPr="00000000">
        <w:rPr>
          <w:rFonts w:ascii="Google Sans Text" w:cs="Google Sans Text" w:eastAsia="Google Sans Text" w:hAnsi="Google Sans Text"/>
          <w:color w:val="1f1f1f"/>
          <w:rtl w:val="0"/>
        </w:rPr>
        <w:t xml:space="preserve"> Launch a departmental pilot project to validate the "Eligibility Check Engine" and the "Notification Service." Use the data from this pilot to refine the machine learning model before a campus-wide rollout.</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Compliance and Security:</w:t>
      </w:r>
      <w:r w:rsidDel="00000000" w:rsidR="00000000" w:rsidRPr="00000000">
        <w:rPr>
          <w:rFonts w:ascii="Google Sans Text" w:cs="Google Sans Text" w:eastAsia="Google Sans Text" w:hAnsi="Google Sans Text"/>
          <w:color w:val="1f1f1f"/>
          <w:rtl w:val="0"/>
        </w:rPr>
        <w:t xml:space="preserve"> Build the platform with a "privacy-by-design" approach, ensuring full adherence to the DPDP Act 2023. This is essential for institutional adoption and long-term sustainability.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aligning the technical requirements with institutional goals and leveraging verified data as the "Single Source of Truth," the proposed platform can bridge the gap between education and employment, creating a resilient and future-ready placement ecosystem for the university.</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University Placement Solution Market Analysis.pdf</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30, 2026, uploaded:flowchart.jpg-55085bde-9a10-4d51-bd6d-a467e7f1515c</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Campus Placement Automation Software for Universities - Superset, accessed January 30, 2026, </w:t>
      </w:r>
      <w:hyperlink r:id="rId6">
        <w:r w:rsidDel="00000000" w:rsidR="00000000" w:rsidRPr="00000000">
          <w:rPr>
            <w:rFonts w:ascii="Google Sans" w:cs="Google Sans" w:eastAsia="Google Sans" w:hAnsi="Google Sans"/>
            <w:color w:val="0000ee"/>
            <w:sz w:val="24"/>
            <w:szCs w:val="24"/>
            <w:u w:val="single"/>
            <w:rtl w:val="0"/>
          </w:rPr>
          <w:t xml:space="preserve">https://joinsuperset.com/blogs/from-overwhelmed-to-empowered-why-universities-need-campus-placement-automation-software-now/</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Challenges of Data Quality in Machine Learning | Granica Blog, accessed January 30, 2026, </w:t>
      </w:r>
      <w:hyperlink r:id="rId7">
        <w:r w:rsidDel="00000000" w:rsidR="00000000" w:rsidRPr="00000000">
          <w:rPr>
            <w:rFonts w:ascii="Google Sans" w:cs="Google Sans" w:eastAsia="Google Sans" w:hAnsi="Google Sans"/>
            <w:color w:val="0000ee"/>
            <w:sz w:val="24"/>
            <w:szCs w:val="24"/>
            <w:u w:val="single"/>
            <w:rtl w:val="0"/>
          </w:rPr>
          <w:t xml:space="preserve">https://www.granica.ai/blog/data-quality-in-machine-learning-grc</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data bias affect machine learning model performance? - BlueGen AI, accessed January 30, 2026, </w:t>
      </w:r>
      <w:hyperlink r:id="rId8">
        <w:r w:rsidDel="00000000" w:rsidR="00000000" w:rsidRPr="00000000">
          <w:rPr>
            <w:rFonts w:ascii="Google Sans" w:cs="Google Sans" w:eastAsia="Google Sans" w:hAnsi="Google Sans"/>
            <w:color w:val="0000ee"/>
            <w:sz w:val="24"/>
            <w:szCs w:val="24"/>
            <w:u w:val="single"/>
            <w:rtl w:val="0"/>
          </w:rPr>
          <w:t xml:space="preserve">https://bluegen.ai/how-does-data-bias-affect-machine-learning-model-performance/</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 Impact Of Bad Data On Your AI Models - Monte Carlo Data, accessed January 30, 2026, </w:t>
      </w:r>
      <w:hyperlink r:id="rId9">
        <w:r w:rsidDel="00000000" w:rsidR="00000000" w:rsidRPr="00000000">
          <w:rPr>
            <w:rFonts w:ascii="Google Sans" w:cs="Google Sans" w:eastAsia="Google Sans" w:hAnsi="Google Sans"/>
            <w:color w:val="0000ee"/>
            <w:sz w:val="24"/>
            <w:szCs w:val="24"/>
            <w:u w:val="single"/>
            <w:rtl w:val="0"/>
          </w:rPr>
          <w:t xml:space="preserve">https://www.montecarlodata.com/blog-the-real-impact-of-bad-data-on-your-ai-models/</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Accurate are Self-Reports? An Analysis of Self-Reported Healthcare Utilization and Absence When Compared to Administrative Data - PMC - NIH, accessed January 30,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https://pmc.ncbi.nlm.nih.gov/articles/PMC2745402/</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Campus Placement Prediction: Binary Classification - Kaggle, accessed January 30, 2026, </w:t>
      </w:r>
      <w:hyperlink r:id="rId11">
        <w:r w:rsidDel="00000000" w:rsidR="00000000" w:rsidRPr="00000000">
          <w:rPr>
            <w:rFonts w:ascii="Google Sans" w:cs="Google Sans" w:eastAsia="Google Sans" w:hAnsi="Google Sans"/>
            <w:color w:val="0000ee"/>
            <w:sz w:val="24"/>
            <w:szCs w:val="24"/>
            <w:u w:val="single"/>
            <w:rtl w:val="0"/>
          </w:rPr>
          <w:t xml:space="preserve">https://www.kaggle.com/datasets/meruvulikith/campus-selection-classification-dataset</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of bias in studies on prediction models developed using supervised machine learning techniques: systematic review | The BMJ, accessed January 30, 2026, </w:t>
      </w:r>
      <w:hyperlink r:id="rId12">
        <w:r w:rsidDel="00000000" w:rsidR="00000000" w:rsidRPr="00000000">
          <w:rPr>
            <w:rFonts w:ascii="Google Sans" w:cs="Google Sans" w:eastAsia="Google Sans" w:hAnsi="Google Sans"/>
            <w:color w:val="0000ee"/>
            <w:sz w:val="24"/>
            <w:szCs w:val="24"/>
            <w:u w:val="single"/>
            <w:rtl w:val="0"/>
          </w:rPr>
          <w:t xml:space="preserve">https://www.bmj.com/content/375/bmj.n2281</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campus placement prediction and analysis using machine learning - International Journal For Recent Development In Science And Technology, accessed January 30, 2026, </w:t>
      </w:r>
      <w:hyperlink r:id="rId13">
        <w:r w:rsidDel="00000000" w:rsidR="00000000" w:rsidRPr="00000000">
          <w:rPr>
            <w:rFonts w:ascii="Google Sans" w:cs="Google Sans" w:eastAsia="Google Sans" w:hAnsi="Google Sans"/>
            <w:color w:val="0000ee"/>
            <w:sz w:val="24"/>
            <w:szCs w:val="24"/>
            <w:u w:val="single"/>
            <w:rtl w:val="0"/>
          </w:rPr>
          <w:t xml:space="preserve">https://ijrdst.org/public/uploads/paper/292021744884195.pdf</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Campus Placement Prediction using Ensemble Learning Approach - ResearchGate, accessed January 30, 2026,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https://www.researchgate.net/publication/392510341_Campus_Placement_Prediction_using_Ensemble_Learning_Approach</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Placement Prediction Using Various Machine Learning Models And Their Efficiency Comparison - Preprints.org, accessed January 30, 2026, </w:t>
      </w:r>
      <w:hyperlink r:id="rId15">
        <w:r w:rsidDel="00000000" w:rsidR="00000000" w:rsidRPr="00000000">
          <w:rPr>
            <w:rFonts w:ascii="Google Sans" w:cs="Google Sans" w:eastAsia="Google Sans" w:hAnsi="Google Sans"/>
            <w:color w:val="0000ee"/>
            <w:sz w:val="24"/>
            <w:szCs w:val="24"/>
            <w:u w:val="single"/>
            <w:rtl w:val="0"/>
          </w:rPr>
          <w:t xml:space="preserve">https://www.preprints.org/manuscript/202601.0825</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Machine Learning Framework for Predicting Student Placement Outcomes - IIETA, accessed January 30, 2026, </w:t>
      </w:r>
      <w:hyperlink r:id="rId16">
        <w:r w:rsidDel="00000000" w:rsidR="00000000" w:rsidRPr="00000000">
          <w:rPr>
            <w:rFonts w:ascii="Google Sans" w:cs="Google Sans" w:eastAsia="Google Sans" w:hAnsi="Google Sans"/>
            <w:color w:val="0000ee"/>
            <w:sz w:val="24"/>
            <w:szCs w:val="24"/>
            <w:u w:val="single"/>
            <w:rtl w:val="0"/>
          </w:rPr>
          <w:t xml:space="preserve">https://www.iieta.org/download/file/fid/181031</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Agile Vs Waterfall: A Practical Comparison For Project Managers - BestOutcome, accessed January 30, 2026, </w:t>
      </w:r>
      <w:hyperlink r:id="rId17">
        <w:r w:rsidDel="00000000" w:rsidR="00000000" w:rsidRPr="00000000">
          <w:rPr>
            <w:rFonts w:ascii="Google Sans" w:cs="Google Sans" w:eastAsia="Google Sans" w:hAnsi="Google Sans"/>
            <w:color w:val="0000ee"/>
            <w:sz w:val="24"/>
            <w:szCs w:val="24"/>
            <w:u w:val="single"/>
            <w:rtl w:val="0"/>
          </w:rPr>
          <w:t xml:space="preserve">https://bestoutcome.com/knowledge-centre/agile-vs-waterfall/</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Battle of Methodologies: Agile vs. Waterfall in Project Management, accessed January 30, 2026, </w:t>
      </w:r>
      <w:hyperlink r:id="rId18">
        <w:r w:rsidDel="00000000" w:rsidR="00000000" w:rsidRPr="00000000">
          <w:rPr>
            <w:rFonts w:ascii="Google Sans" w:cs="Google Sans" w:eastAsia="Google Sans" w:hAnsi="Google Sans"/>
            <w:color w:val="0000ee"/>
            <w:sz w:val="24"/>
            <w:szCs w:val="24"/>
            <w:u w:val="single"/>
            <w:rtl w:val="0"/>
          </w:rPr>
          <w:t xml:space="preserve">https://pmcenter.bellevue.edu/2024/12/11/the-battle-of-methodologies-agile-vs-waterfall-in-project-management/</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Agile Feedback Loop: Why and When They Are Necessary - Mendix, accessed January 30, 2026, </w:t>
      </w:r>
      <w:hyperlink r:id="rId19">
        <w:r w:rsidDel="00000000" w:rsidR="00000000" w:rsidRPr="00000000">
          <w:rPr>
            <w:rFonts w:ascii="Google Sans" w:cs="Google Sans" w:eastAsia="Google Sans" w:hAnsi="Google Sans"/>
            <w:color w:val="0000ee"/>
            <w:sz w:val="24"/>
            <w:szCs w:val="24"/>
            <w:u w:val="single"/>
            <w:rtl w:val="0"/>
          </w:rPr>
          <w:t xml:space="preserve">https://www.mendix.com/blog/agile-process-why-you-need-feedback-loops-both-during-and-after-sprints/</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 Product Quality with the Agile Feedback Loop, accessed January 30, 2026, </w:t>
      </w:r>
      <w:hyperlink r:id="rId20">
        <w:r w:rsidDel="00000000" w:rsidR="00000000" w:rsidRPr="00000000">
          <w:rPr>
            <w:rFonts w:ascii="Google Sans" w:cs="Google Sans" w:eastAsia="Google Sans" w:hAnsi="Google Sans"/>
            <w:color w:val="0000ee"/>
            <w:sz w:val="24"/>
            <w:szCs w:val="24"/>
            <w:u w:val="single"/>
            <w:rtl w:val="0"/>
          </w:rPr>
          <w:t xml:space="preserve">https://agilevelocity.com/blog/product-quality-with-agile-feedback-loops/</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Steps to Introduce Reluctant Employees to New Tech Solutions - Training Magazine, accessed January 30, 2026, </w:t>
      </w:r>
      <w:hyperlink r:id="rId21">
        <w:r w:rsidDel="00000000" w:rsidR="00000000" w:rsidRPr="00000000">
          <w:rPr>
            <w:rFonts w:ascii="Google Sans" w:cs="Google Sans" w:eastAsia="Google Sans" w:hAnsi="Google Sans"/>
            <w:color w:val="0000ee"/>
            <w:sz w:val="24"/>
            <w:szCs w:val="24"/>
            <w:u w:val="single"/>
            <w:rtl w:val="0"/>
          </w:rPr>
          <w:t xml:space="preserve">https://trainingmag.com/7-steps-to-introduce-reluctant-employees-to-new-tech-solutions/</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Fixing Hidden Bottlenecks in Campus Placement Workflows - Superset, accessed January 30, 2026, </w:t>
      </w:r>
      <w:hyperlink r:id="rId22">
        <w:r w:rsidDel="00000000" w:rsidR="00000000" w:rsidRPr="00000000">
          <w:rPr>
            <w:rFonts w:ascii="Google Sans" w:cs="Google Sans" w:eastAsia="Google Sans" w:hAnsi="Google Sans"/>
            <w:color w:val="0000ee"/>
            <w:sz w:val="24"/>
            <w:szCs w:val="24"/>
            <w:u w:val="single"/>
            <w:rtl w:val="0"/>
          </w:rPr>
          <w:t xml:space="preserve">https://joinsuperset.com/blogs/the-hidden-bottlenecks-in-campus-placement-workflows-and-how-to-fix-them/</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Pioneering POC to MVP - A Guide to Successful Implementation | Belatrix Blog - Globant, accessed January 30, 2026, </w:t>
      </w:r>
      <w:hyperlink r:id="rId23">
        <w:r w:rsidDel="00000000" w:rsidR="00000000" w:rsidRPr="00000000">
          <w:rPr>
            <w:rFonts w:ascii="Google Sans" w:cs="Google Sans" w:eastAsia="Google Sans" w:hAnsi="Google Sans"/>
            <w:color w:val="0000ee"/>
            <w:sz w:val="24"/>
            <w:szCs w:val="24"/>
            <w:u w:val="single"/>
            <w:rtl w:val="0"/>
          </w:rPr>
          <w:t xml:space="preserve">https://belatrix.globant.com/us-en/blog/tech-trends/innovation-practice-from-prototype-to-mvp/</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MVP to Full-Scale AI Solution | 8allocate, accessed January 30, 2026, </w:t>
      </w:r>
      <w:hyperlink r:id="rId24">
        <w:r w:rsidDel="00000000" w:rsidR="00000000" w:rsidRPr="00000000">
          <w:rPr>
            <w:rFonts w:ascii="Google Sans" w:cs="Google Sans" w:eastAsia="Google Sans" w:hAnsi="Google Sans"/>
            <w:color w:val="0000ee"/>
            <w:sz w:val="24"/>
            <w:szCs w:val="24"/>
            <w:u w:val="single"/>
            <w:rtl w:val="0"/>
          </w:rPr>
          <w:t xml:space="preserve">https://8allocate.com/blog/from-mvp-to-full-scale-ai-solution/</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new software without stressing people out | Smartsheet, accessed January 30, 2026, </w:t>
      </w:r>
      <w:hyperlink r:id="rId25">
        <w:r w:rsidDel="00000000" w:rsidR="00000000" w:rsidRPr="00000000">
          <w:rPr>
            <w:rFonts w:ascii="Google Sans" w:cs="Google Sans" w:eastAsia="Google Sans" w:hAnsi="Google Sans"/>
            <w:color w:val="0000ee"/>
            <w:sz w:val="24"/>
            <w:szCs w:val="24"/>
            <w:u w:val="single"/>
            <w:rtl w:val="0"/>
          </w:rPr>
          <w:t xml:space="preserve">https://www.smartsheet.com/content-center/managing-work/how-implement-new-software-without-stressing-people-out</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Messages on Best practices for selecting a team to pilot software - ProjectManagement.com, accessed January 30, 2026, </w:t>
      </w:r>
      <w:hyperlink r:id="rId26">
        <w:r w:rsidDel="00000000" w:rsidR="00000000" w:rsidRPr="00000000">
          <w:rPr>
            <w:rFonts w:ascii="Google Sans" w:cs="Google Sans" w:eastAsia="Google Sans" w:hAnsi="Google Sans"/>
            <w:color w:val="0000ee"/>
            <w:sz w:val="24"/>
            <w:szCs w:val="24"/>
            <w:u w:val="single"/>
            <w:rtl w:val="0"/>
          </w:rPr>
          <w:t xml:space="preserve">https://www.projectmanagement.com/discussion-topic/18768/Best-practices-for-selecting-a-team-to-pilot-software</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Recruitment Automation vs. Manual Hiring: Productivity Comparison - Ribbon.ai, accessed January 30, 2026, </w:t>
      </w:r>
      <w:hyperlink r:id="rId27">
        <w:r w:rsidDel="00000000" w:rsidR="00000000" w:rsidRPr="00000000">
          <w:rPr>
            <w:rFonts w:ascii="Google Sans" w:cs="Google Sans" w:eastAsia="Google Sans" w:hAnsi="Google Sans"/>
            <w:color w:val="0000ee"/>
            <w:sz w:val="24"/>
            <w:szCs w:val="24"/>
            <w:u w:val="single"/>
            <w:rtl w:val="0"/>
          </w:rPr>
          <w:t xml:space="preserve">https://www.ribbon.ai/blog/recruitment-automation-vs-manual-hiring-productivity-comparison</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Receiving and Providing Feedback for New Developers - Atomic Spin, accessed January 30, 2026, </w:t>
      </w:r>
      <w:hyperlink r:id="rId28">
        <w:r w:rsidDel="00000000" w:rsidR="00000000" w:rsidRPr="00000000">
          <w:rPr>
            <w:rFonts w:ascii="Google Sans" w:cs="Google Sans" w:eastAsia="Google Sans" w:hAnsi="Google Sans"/>
            <w:color w:val="0000ee"/>
            <w:sz w:val="24"/>
            <w:szCs w:val="24"/>
            <w:u w:val="single"/>
            <w:rtl w:val="0"/>
          </w:rPr>
          <w:t xml:space="preserve">https://spin.atomicobject.com/providing-feedback-new-developers/</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Running a Successful AI Proof of Concept for Enterprise Copilots and Agents in Higher Education | Element451, accessed January 30, 2026, </w:t>
      </w:r>
      <w:hyperlink r:id="rId29">
        <w:r w:rsidDel="00000000" w:rsidR="00000000" w:rsidRPr="00000000">
          <w:rPr>
            <w:rFonts w:ascii="Google Sans" w:cs="Google Sans" w:eastAsia="Google Sans" w:hAnsi="Google Sans"/>
            <w:color w:val="0000ee"/>
            <w:sz w:val="24"/>
            <w:szCs w:val="24"/>
            <w:u w:val="single"/>
            <w:rtl w:val="0"/>
          </w:rPr>
          <w:t xml:space="preserve">https://element451.com/blog/ai-proof-of-concept-guide-for-higher-education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gilevelocity.com/blog/product-quality-with-agile-feedback-loops/" TargetMode="External"/><Relationship Id="rId22" Type="http://schemas.openxmlformats.org/officeDocument/2006/relationships/hyperlink" Target="https://joinsuperset.com/blogs/the-hidden-bottlenecks-in-campus-placement-workflows-and-how-to-fix-them/" TargetMode="External"/><Relationship Id="rId21" Type="http://schemas.openxmlformats.org/officeDocument/2006/relationships/hyperlink" Target="https://trainingmag.com/7-steps-to-introduce-reluctant-employees-to-new-tech-solutions/" TargetMode="External"/><Relationship Id="rId24" Type="http://schemas.openxmlformats.org/officeDocument/2006/relationships/hyperlink" Target="https://8allocate.com/blog/from-mvp-to-full-scale-ai-solution/" TargetMode="External"/><Relationship Id="rId23" Type="http://schemas.openxmlformats.org/officeDocument/2006/relationships/hyperlink" Target="https://belatrix.globant.com/us-en/blog/tech-trends/innovation-practice-from-prototype-to-mv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ntecarlodata.com/blog-the-real-impact-of-bad-data-on-your-ai-models/" TargetMode="External"/><Relationship Id="rId26" Type="http://schemas.openxmlformats.org/officeDocument/2006/relationships/hyperlink" Target="https://www.projectmanagement.com/discussion-topic/18768/Best-practices-for-selecting-a-team-to-pilot-software" TargetMode="External"/><Relationship Id="rId25" Type="http://schemas.openxmlformats.org/officeDocument/2006/relationships/hyperlink" Target="https://www.smartsheet.com/content-center/managing-work/how-implement-new-software-without-stressing-people-out" TargetMode="External"/><Relationship Id="rId28" Type="http://schemas.openxmlformats.org/officeDocument/2006/relationships/hyperlink" Target="https://spin.atomicobject.com/providing-feedback-new-developers/" TargetMode="External"/><Relationship Id="rId27" Type="http://schemas.openxmlformats.org/officeDocument/2006/relationships/hyperlink" Target="https://www.ribbon.ai/blog/recruitment-automation-vs-manual-hiring-productivity-comparison" TargetMode="External"/><Relationship Id="rId5" Type="http://schemas.openxmlformats.org/officeDocument/2006/relationships/styles" Target="styles.xml"/><Relationship Id="rId6" Type="http://schemas.openxmlformats.org/officeDocument/2006/relationships/hyperlink" Target="https://joinsuperset.com/blogs/from-overwhelmed-to-empowered-why-universities-need-campus-placement-automation-software-now/" TargetMode="External"/><Relationship Id="rId29" Type="http://schemas.openxmlformats.org/officeDocument/2006/relationships/hyperlink" Target="https://element451.com/blog/ai-proof-of-concept-guide-for-higher-education" TargetMode="External"/><Relationship Id="rId7" Type="http://schemas.openxmlformats.org/officeDocument/2006/relationships/hyperlink" Target="https://www.granica.ai/blog/data-quality-in-machine-learning-grc" TargetMode="External"/><Relationship Id="rId8" Type="http://schemas.openxmlformats.org/officeDocument/2006/relationships/hyperlink" Target="https://bluegen.ai/how-does-data-bias-affect-machine-learning-model-performance/" TargetMode="External"/><Relationship Id="rId11" Type="http://schemas.openxmlformats.org/officeDocument/2006/relationships/hyperlink" Target="https://www.kaggle.com/datasets/meruvulikith/campus-selection-classification-dataset" TargetMode="External"/><Relationship Id="rId10" Type="http://schemas.openxmlformats.org/officeDocument/2006/relationships/hyperlink" Target="https://pmc.ncbi.nlm.nih.gov/articles/PMC2745402/" TargetMode="External"/><Relationship Id="rId13" Type="http://schemas.openxmlformats.org/officeDocument/2006/relationships/hyperlink" Target="https://ijrdst.org/public/uploads/paper/292021744884195.pdf" TargetMode="External"/><Relationship Id="rId12" Type="http://schemas.openxmlformats.org/officeDocument/2006/relationships/hyperlink" Target="https://www.bmj.com/content/375/bmj.n2281" TargetMode="External"/><Relationship Id="rId15" Type="http://schemas.openxmlformats.org/officeDocument/2006/relationships/hyperlink" Target="https://www.preprints.org/manuscript/202601.0825" TargetMode="External"/><Relationship Id="rId14" Type="http://schemas.openxmlformats.org/officeDocument/2006/relationships/hyperlink" Target="https://www.researchgate.net/publication/392510341_Campus_Placement_Prediction_using_Ensemble_Learning_Approach" TargetMode="External"/><Relationship Id="rId17" Type="http://schemas.openxmlformats.org/officeDocument/2006/relationships/hyperlink" Target="https://bestoutcome.com/knowledge-centre/agile-vs-waterfall/" TargetMode="External"/><Relationship Id="rId16" Type="http://schemas.openxmlformats.org/officeDocument/2006/relationships/hyperlink" Target="https://www.iieta.org/download/file/fid/181031" TargetMode="External"/><Relationship Id="rId19" Type="http://schemas.openxmlformats.org/officeDocument/2006/relationships/hyperlink" Target="https://www.mendix.com/blog/agile-process-why-you-need-feedback-loops-both-during-and-after-sprints/" TargetMode="External"/><Relationship Id="rId18" Type="http://schemas.openxmlformats.org/officeDocument/2006/relationships/hyperlink" Target="https://pmcenter.bellevue.edu/2024/12/11/the-battle-of-methodologies-agile-vs-waterfall-in-project-manag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