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Evaluation &amp; Analysis Report</w:t>
      </w:r>
    </w:p>
    <w:p/>
    <w:p>
      <w:pPr>
        <w:jc w:val="center"/>
      </w:pPr>
      <w:r>
        <w:rPr>
          <w:b/>
          <w:sz w:val="28"/>
        </w:rPr>
        <w:t>Project Title: Robust Semantic Segmentation for Off-Road Autonomy</w:t>
      </w:r>
    </w:p>
    <w:p>
      <w:pPr>
        <w:jc w:val="center"/>
      </w:pPr>
      <w:r>
        <w:rPr>
          <w:b/>
          <w:sz w:val="24"/>
        </w:rPr>
        <w:t>Team Name: The Quantix</w:t>
      </w:r>
    </w:p>
    <w:p>
      <w:pPr>
        <w:jc w:val="center"/>
      </w:pPr>
      <w:r>
        <w:t>Date: February 19, 2026</w:t>
      </w:r>
    </w:p>
    <w:p>
      <w:r>
        <w:br w:type="page"/>
      </w:r>
    </w:p>
    <w:p>
      <w:pPr>
        <w:pStyle w:val="Heading1"/>
      </w:pPr>
      <w:r>
        <w:t>1. Executive Summary</w:t>
      </w:r>
    </w:p>
    <w:p>
      <w:r>
        <w:t xml:space="preserve">Autonomous navigation in unstructured, off-road environments presents a unique set of challenges that traditional road-based AI rarely encounters. Without lane markings or flat asphalt, vehicles must rely on a deep understanding of terrain geometry and material composition. </w:t>
        <w:br/>
        <w:br/>
        <w:t>The Quantix project addresses this by developing a high-fidelity semantic segmentation model trained on synthetic desert datasets from Duality AI’s Falcon platform. By shifting from a standard CPU baseline to a hardware-accelerated, optimized Vision Transformer (DINOv2) architecture, we achieved a significant increase in spatial precision and inference speed, providing a reliable foundation for real-time off-road autonomy.</w:t>
      </w:r>
    </w:p>
    <w:p>
      <w:pPr>
        <w:pStyle w:val="Heading1"/>
      </w:pPr>
      <w:r>
        <w:t>2. Methodology &amp; Technical Stack</w:t>
      </w:r>
    </w:p>
    <w:p>
      <w:r>
        <w:t>The core objective was to build a model that captures complex spatial features while remaining computationally efficient.</w:t>
      </w:r>
    </w:p>
    <w:p>
      <w:pPr>
        <w:pStyle w:val="ListBullet"/>
      </w:pPr>
      <w:r>
        <w:rPr>
          <w:b/>
        </w:rPr>
        <w:t xml:space="preserve">Architecture Selection: </w:t>
      </w:r>
      <w:r>
        <w:t>We implemented a DINOv2 backbone. Unlike traditional convolutional networks, this transformer-based model excels at understanding global context, which is vital for distinguishing between 'dry grass' and 'landscape' in high-glare desert conditions.</w:t>
      </w:r>
    </w:p>
    <w:p>
      <w:pPr>
        <w:pStyle w:val="ListBullet"/>
      </w:pPr>
      <w:r>
        <w:rPr>
          <w:b/>
        </w:rPr>
        <w:t xml:space="preserve">The Pipeline: </w:t>
      </w:r>
      <w:r>
        <w:t>Raw RGB images were passed through a pipeline of normalization and resizing, followed by the DINOv2 feature extractor and a custom segmentation head.</w:t>
      </w:r>
    </w:p>
    <w:p>
      <w:pPr>
        <w:pStyle w:val="ListBullet"/>
      </w:pPr>
      <w:r>
        <w:rPr>
          <w:b/>
        </w:rPr>
        <w:t xml:space="preserve">Data Augmentation: </w:t>
      </w:r>
      <w:r>
        <w:t>To ensure the model learned robust features rather than memorizing the synthetic environment, we utilized random horizontal flips, color jitter (adjusting brightness and contrast), and random resized crops. This effectively bridged the 'sim-to-real' gap.</w:t>
      </w:r>
    </w:p>
    <w:p>
      <w:pPr>
        <w:pStyle w:val="Heading1"/>
      </w:pPr>
      <w:r>
        <w:t>3. Hardware &amp; Optimization Strategies</w:t>
      </w:r>
    </w:p>
    <w:p>
      <w:r>
        <w:t>One of the most significant engineering challenges was the deployment on the NVIDIA RTX 5050 (sm_120 architecture).</w:t>
      </w:r>
    </w:p>
    <w:p>
      <w:pPr>
        <w:pStyle w:val="ListBullet"/>
      </w:pPr>
      <w:r>
        <w:rPr>
          <w:b/>
        </w:rPr>
        <w:t xml:space="preserve">The Constraint: </w:t>
      </w:r>
      <w:r>
        <w:t>The Blackwell-based architecture of the 50-series card lacked pre-compiled kernel support in stable PyTorch 2.1 releases, leading to 'no kernel image' errors during initial training attempts.</w:t>
      </w:r>
    </w:p>
    <w:p>
      <w:pPr>
        <w:pStyle w:val="ListBullet"/>
      </w:pPr>
      <w:r>
        <w:rPr>
          <w:b/>
        </w:rPr>
        <w:t xml:space="preserve">The Tactical Pivot: </w:t>
      </w:r>
      <w:r>
        <w:t>We initially reverted to CPU-based training (Version 1) to establish a stable performance baseline of 0.29 IoU.</w:t>
      </w:r>
    </w:p>
    <w:p>
      <w:pPr>
        <w:pStyle w:val="ListBullet"/>
      </w:pPr>
      <w:r>
        <w:rPr>
          <w:b/>
        </w:rPr>
        <w:t xml:space="preserve">The Final Solution: </w:t>
      </w:r>
      <w:r>
        <w:t>By utilizing a specific legacy CUDA configuration and nightly drivers, we successfully re-enabled GPU acceleration for Version 2. This transition reduced our training time from ~15 minutes per epoch to less than 2 minutes.</w:t>
      </w:r>
    </w:p>
    <w:p>
      <w:pPr>
        <w:pStyle w:val="ListBullet"/>
      </w:pPr>
      <w:r>
        <w:rPr>
          <w:b/>
        </w:rPr>
        <w:t xml:space="preserve">Inference Speed: </w:t>
      </w:r>
      <w:r>
        <w:t>The final model achieved an inference speed of &lt; 50ms per image, meeting the benchmark for high-speed, real-time autonomous navigation.</w:t>
      </w:r>
    </w:p>
    <w:p>
      <w:pPr>
        <w:pStyle w:val="Heading1"/>
      </w:pPr>
      <w:r>
        <w:t>4. Comparative Results &amp; Metrics</w:t>
      </w:r>
    </w:p>
    <w:p>
      <w:r>
        <w:t>The training process demonstrated a clear evolution from a basic classifier to a precision segmentation engine.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Version 1 (CPU)</w:t>
            </w:r>
          </w:p>
        </w:tc>
        <w:tc>
          <w:tcPr>
            <w:tcW w:type="dxa" w:w="2160"/>
          </w:tcPr>
          <w:p>
            <w:r>
              <w:t>Version 2 (GPU)</w:t>
            </w:r>
          </w:p>
        </w:tc>
        <w:tc>
          <w:tcPr>
            <w:tcW w:type="dxa" w:w="2160"/>
          </w:tcPr>
          <w:p>
            <w:r>
              <w:t>Delta</w:t>
            </w:r>
          </w:p>
        </w:tc>
      </w:tr>
      <w:tr>
        <w:tc>
          <w:tcPr>
            <w:tcW w:type="dxa" w:w="2160"/>
          </w:tcPr>
          <w:p>
            <w:r>
              <w:t>Mean IoU (mIoU)</w:t>
            </w:r>
          </w:p>
        </w:tc>
        <w:tc>
          <w:tcPr>
            <w:tcW w:type="dxa" w:w="2160"/>
          </w:tcPr>
          <w:p>
            <w:r>
              <w:t>0.2936</w:t>
            </w:r>
          </w:p>
        </w:tc>
        <w:tc>
          <w:tcPr>
            <w:tcW w:type="dxa" w:w="2160"/>
          </w:tcPr>
          <w:p>
            <w:r>
              <w:t>0.3571</w:t>
            </w:r>
          </w:p>
        </w:tc>
        <w:tc>
          <w:tcPr>
            <w:tcW w:type="dxa" w:w="2160"/>
          </w:tcPr>
          <w:p>
            <w:r>
              <w:t>+21.6%</w:t>
            </w:r>
          </w:p>
        </w:tc>
      </w:tr>
      <w:tr>
        <w:tc>
          <w:tcPr>
            <w:tcW w:type="dxa" w:w="2160"/>
          </w:tcPr>
          <w:p>
            <w:r>
              <w:t>Pixel Accuracy</w:t>
            </w:r>
          </w:p>
        </w:tc>
        <w:tc>
          <w:tcPr>
            <w:tcW w:type="dxa" w:w="2160"/>
          </w:tcPr>
          <w:p>
            <w:r>
              <w:t>70.26%</w:t>
            </w:r>
          </w:p>
        </w:tc>
        <w:tc>
          <w:tcPr>
            <w:tcW w:type="dxa" w:w="2160"/>
          </w:tcPr>
          <w:p>
            <w:r>
              <w:t>72.39%</w:t>
            </w:r>
          </w:p>
        </w:tc>
        <w:tc>
          <w:tcPr>
            <w:tcW w:type="dxa" w:w="2160"/>
          </w:tcPr>
          <w:p>
            <w:r>
              <w:t>+3.0%</w:t>
            </w:r>
          </w:p>
        </w:tc>
      </w:tr>
      <w:tr>
        <w:tc>
          <w:tcPr>
            <w:tcW w:type="dxa" w:w="2160"/>
          </w:tcPr>
          <w:p>
            <w:r>
              <w:t>Dice Coefficient</w:t>
            </w:r>
          </w:p>
        </w:tc>
        <w:tc>
          <w:tcPr>
            <w:tcW w:type="dxa" w:w="2160"/>
          </w:tcPr>
          <w:p>
            <w:r>
              <w:t>0.4384</w:t>
            </w:r>
          </w:p>
        </w:tc>
        <w:tc>
          <w:tcPr>
            <w:tcW w:type="dxa" w:w="2160"/>
          </w:tcPr>
          <w:p>
            <w:r>
              <w:t>0.5152</w:t>
            </w:r>
          </w:p>
        </w:tc>
        <w:tc>
          <w:tcPr>
            <w:tcW w:type="dxa" w:w="2160"/>
          </w:tcPr>
          <w:p>
            <w:r>
              <w:t>+17.5%</w:t>
            </w:r>
          </w:p>
        </w:tc>
      </w:tr>
      <w:tr>
        <w:tc>
          <w:tcPr>
            <w:tcW w:type="dxa" w:w="2160"/>
          </w:tcPr>
          <w:p>
            <w:r>
              <w:t>Inference Time</w:t>
            </w:r>
          </w:p>
        </w:tc>
        <w:tc>
          <w:tcPr>
            <w:tcW w:type="dxa" w:w="2160"/>
          </w:tcPr>
          <w:p>
            <w:r>
              <w:t>~931s/epoch</w:t>
            </w:r>
          </w:p>
        </w:tc>
        <w:tc>
          <w:tcPr>
            <w:tcW w:type="dxa" w:w="2160"/>
          </w:tcPr>
          <w:p>
            <w:r>
              <w:t>&lt;50ms/image</w:t>
            </w:r>
          </w:p>
        </w:tc>
        <w:tc>
          <w:tcPr>
            <w:tcW w:type="dxa" w:w="2160"/>
          </w:tcPr>
          <w:p>
            <w:r>
              <w:t>~15x Speedup</w:t>
            </w:r>
          </w:p>
        </w:tc>
      </w:tr>
    </w:tbl>
    <w:p>
      <w:r>
        <w:br/>
        <w:t>The 21.6% jump in Mean IoU represents the shift from a model that simply recognizes colors to one that understands boundaries.</w:t>
      </w:r>
    </w:p>
    <w:p>
      <w:pPr>
        <w:pStyle w:val="Heading1"/>
      </w:pPr>
      <w:r>
        <w:t>5. Training Analysis (Loss &amp; Convergence)</w:t>
      </w:r>
    </w:p>
    <w:p>
      <w:r>
        <w:t>The Version 2 training stats showed a healthy convergence over 10 epochs. By implementing Class-Weighted Cross-Entropy Loss, we forced the model to pay 10x more attention to rare, critical objects like 'Logs' and 'Rocks,' which are often drowned out by common 'Sky' and 'Landscape' pixels in a standard loss function.</w:t>
      </w:r>
    </w:p>
    <w:p>
      <w:pPr>
        <w:pStyle w:val="Heading1"/>
      </w:pPr>
      <w:r>
        <w:t>6. Failure Case Analysis</w:t>
      </w:r>
    </w:p>
    <w:p>
      <w:pPr>
        <w:pStyle w:val="ListBullet"/>
      </w:pPr>
      <w:r>
        <w:rPr>
          <w:b/>
        </w:rPr>
        <w:t xml:space="preserve">Texture Ambiguity: </w:t>
      </w:r>
      <w:r>
        <w:t>Version 1 frequently misidentified 'Logs' as 'Landscape' because their texture and color values are nearly identical to the sand.</w:t>
      </w:r>
    </w:p>
    <w:p>
      <w:pPr>
        <w:pStyle w:val="ListBullet"/>
      </w:pPr>
      <w:r>
        <w:rPr>
          <w:b/>
        </w:rPr>
        <w:t xml:space="preserve">Edge Definition: </w:t>
      </w:r>
      <w:r>
        <w:t>In high-glare scenarios, the boundary between 'Dry Grass' and 'Sand' often blurred.</w:t>
      </w:r>
    </w:p>
    <w:p>
      <w:pPr>
        <w:pStyle w:val="ListBullet"/>
      </w:pPr>
      <w:r>
        <w:rPr>
          <w:b/>
        </w:rPr>
        <w:t xml:space="preserve">The Fix: </w:t>
      </w:r>
      <w:r>
        <w:t>Version 2 significantly mitigated these issues through Data Augmentation (Color Jitter) and Class Weighting.</w:t>
      </w:r>
    </w:p>
    <w:p>
      <w:pPr>
        <w:pStyle w:val="Heading1"/>
      </w:pPr>
      <w:r>
        <w:t>7. Conclusion &amp; Future Scope</w:t>
      </w:r>
    </w:p>
    <w:p>
      <w:r>
        <w:t>Future Work:</w:t>
      </w:r>
    </w:p>
    <w:p>
      <w:pPr>
        <w:pStyle w:val="ListBullet"/>
      </w:pPr>
      <w:r>
        <w:t>Multi-Modal Fusion: Combining camera data with LiDAR point clouds.</w:t>
      </w:r>
    </w:p>
    <w:p>
      <w:pPr>
        <w:pStyle w:val="ListBullet"/>
      </w:pPr>
      <w:r>
        <w:t>Embedded Deployment: Quantizing the model (INT8) for Jetson Nano hardware.</w:t>
      </w:r>
    </w:p>
    <w:p>
      <w:pPr>
        <w:pStyle w:val="ListBullet"/>
      </w:pPr>
      <w:r>
        <w:t>Extended Fine-Tuning: Running the GPU pipeline for 50+ epochs to hit 0.50 mIoU.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