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styles.xml" ContentType="application/vnd.openxmlformats-officedocument.wordprocessingml.styles+xml"/>
  <Override PartName="/word/numbering.xml" ContentType="application/vnd.openxmlformats-officedocument.wordprocessingml.numbering+xml"/>
  <Override PartName="/word/document.xml" ContentType="application/vnd.openxmlformats-officedocument.wordprocessingml.document.main+xml"/>
  <Override PartName="/word/comments.xml" ContentType="application/vnd.openxmlformats-officedocument.wordprocessingml.comments+xml"/>
  <Override PartName="/word/settings.xml" ContentType="application/vnd.openxmlformats-officedocument.wordprocessingml.settings+xml"/>
  <Override PartName="/word/fontTable.xml" ContentType="application/vnd.openxmlformats-officedocument.wordprocessingml.fontTable+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jc w:val="center"/>
      </w:pPr>
      <w:r>
        <w:rPr>
          <w:color w:val="C00000"/>
        </w:rPr>
        <w:t xml:space="preserve">Lab 3: Architectural Pattern Selection - Written Justification</w:t>
      </w:r>
    </w:p>
    <w:p>
      <w:pPr>
        <w:spacing w:after="200"/>
        <w:jc w:val="center"/>
      </w:pPr>
      <w:r>
        <w:rPr>
          <w:i/>
          <w:iCs/>
          <w:sz w:val="20"/>
          <w:szCs w:val="20"/>
        </w:rPr>
        <w:t xml:space="preserve">Freight Marketplace - Inter-City Freight Load Matching</w:t>
      </w:r>
      <w:r>
        <w:rPr>
          <w:sz w:val="20"/>
          <w:szCs w:val="20"/>
        </w:rPr>
        <w:t xml:space="preserve">   |   Pranav Chandrasekar, PES1UG24CS332</w:t>
      </w:r>
    </w:p>
    <w:p>
      <w:pPr>
        <w:spacing w:after="160"/>
      </w:pPr>
      <w:r>
        <w:rPr>
          <w:b/>
          <w:bCs/>
        </w:rPr>
        <w:t xml:space="preserve">Architecture Selection: </w:t>
      </w:r>
      <w:r>
        <w:t xml:space="preserve">We chose Microservices Architecture for the Freight Marketplace system.</w:t>
      </w:r>
    </w:p>
    <w:p>
      <w:pPr>
        <w:pStyle w:val="Heading2"/>
        <w:spacing w:after="40" w:before="60"/>
      </w:pPr>
      <w:r>
        <w:rPr>
          <w:color w:val="C00000"/>
        </w:rPr>
        <w:t xml:space="preserve">Reason 1 - Independent Scaling Under Divergent Load Patterns</w:t>
      </w:r>
    </w:p>
    <w:p>
      <w:pPr>
        <w:spacing w:after="120"/>
      </w:pPr>
      <w:r>
        <w:t xml:space="preserve">The Load &amp; Bidding Service experiences bursty, high-volume traffic during active auction windows (FR-001, FR-002), while the Payment &amp; Escrow Service must independently guarantee a strict 60-second disbursement SLA once a proof-of-delivery is verified (NFR-001). A monolithic or layered design would force these very different workloads to share the same runtime resources, so a spike in bidding traffic could delay escrow releases. Microservices let each service scale on its own, so bidding load never threatens payment latency.</w:t>
      </w:r>
    </w:p>
    <w:p>
      <w:pPr>
        <w:pStyle w:val="Heading2"/>
        <w:spacing w:after="40" w:before="60"/>
      </w:pPr>
      <w:r>
        <w:rPr>
          <w:color w:val="C00000"/>
        </w:rPr>
        <w:t xml:space="preserve">Reason 2 - Fault Isolation for Non-Critical Paths</w:t>
      </w:r>
    </w:p>
    <w:p>
      <w:pPr>
        <w:spacing w:after="120"/>
      </w:pPr>
      <w:r>
        <w:t xml:space="preserve">Real-time status notifications (FR-005) are important but not transaction-critical. Deploying the Notification Service as an independent, loosely coupled component means that if it slows down or fails, shipment posting, bidding, award, and escrow payment can continue uninterrupted. In a tightly coupled layered system, a notification failure could cascade and stall the core transaction flow.</w:t>
      </w:r>
    </w:p>
    <w:p>
      <w:pPr>
        <w:pStyle w:val="Heading2"/>
        <w:spacing w:after="40" w:before="60"/>
      </w:pPr>
      <w:r>
        <w:rPr>
          <w:color w:val="C00000"/>
        </w:rPr>
        <w:t xml:space="preserve">Security Advantage</w:t>
      </w:r>
    </w:p>
    <w:p>
      <w:pPr>
        <w:spacing w:after="120"/>
      </w:pPr>
      <w:r>
        <w:t xml:space="preserve">Isolating the Payment &amp; Escrow Service and the Carrier Verification &amp; Security Service as separate deployable units lets each hold its own hardened security boundary, its own AES-256/TLS 1.2+ encryption at rest and in transit (NFR-002), and its own access controls and audit logging. A breach or vulnerability in a lower-sensitivity service, such as Notifications, cannot directly reach payment data or carrier permit documents, since the services communicate only through well-defined, authenticated interfaces rather than shared memory or a shared database.</w:t>
      </w:r>
    </w:p>
    <w:p>
      <w:pPr>
        <w:pStyle w:val="Heading2"/>
        <w:spacing w:after="40" w:before="60"/>
      </w:pPr>
      <w:r>
        <w:rPr>
          <w:color w:val="C00000"/>
        </w:rPr>
        <w:t xml:space="preserve">Performance Benefit</w:t>
      </w:r>
    </w:p>
    <w:p>
      <w:pPr>
        <w:spacing w:after="120"/>
      </w:pPr>
      <w:r>
        <w:t xml:space="preserve">Because the Payment &amp; Escrow Service is deployed and scaled independently of the rest of the platform, it can be provisioned with dedicated resources and optimized data paths purely for fast, verified disbursement, which is what makes the NFR-001 target of releasing escrow within 60 seconds of a verified proof-of-delivery achievable even during peak bidding activity elsewhere in the system.</w:t>
      </w:r>
    </w:p>
    <w:p>
      <w:pPr>
        <w:pStyle w:val="Heading2"/>
        <w:spacing w:after="40" w:before="60"/>
      </w:pPr>
      <w:r>
        <w:rPr>
          <w:color w:val="C00000"/>
        </w:rPr>
        <w:t xml:space="preserve">Components Identified</w:t>
      </w:r>
    </w:p>
    <w:p>
      <w:pPr>
        <w:spacing w:after="20"/>
      </w:pPr>
      <w:r>
        <w:t xml:space="preserve">1. Load &amp; Bidding Service (given: Order Manager) - load posting, bid submission, and award</w:t>
      </w:r>
    </w:p>
    <w:p>
      <w:pPr>
        <w:spacing w:after="20"/>
      </w:pPr>
      <w:r>
        <w:t xml:space="preserve">2. Payment &amp; Escrow Service (given: Payment Service) - escrow hold and automatic payout</w:t>
      </w:r>
    </w:p>
    <w:p>
      <w:pPr>
        <w:spacing w:after="20"/>
      </w:pPr>
      <w:r>
        <w:t xml:space="preserve">3. Proof-of-Delivery Service - POD upload and verification, triggers escrow release</w:t>
      </w:r>
    </w:p>
    <w:p>
      <w:pPr>
        <w:spacing w:after="20"/>
      </w:pPr>
      <w:r>
        <w:t xml:space="preserve">4. Notification Service - real-time status updates to shippers and carriers</w:t>
      </w:r>
    </w:p>
    <w:p>
      <w:pPr>
        <w:spacing w:after="20"/>
      </w:pPr>
      <w:r>
        <w:t xml:space="preserve">5. Carrier Verification &amp; Security Service - carrier/permit verification and encrypted-data checks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B53AE2E10EFA48A44B32F54394638B" ma:contentTypeVersion="11" ma:contentTypeDescription="Create a new document." ma:contentTypeScope="" ma:versionID="99fbdd081cce61afc52e3dafc03f7b87">
  <xsd:schema xmlns:xsd="http://www.w3.org/2001/XMLSchema" xmlns:xs="http://www.w3.org/2001/XMLSchema" xmlns:p="http://schemas.microsoft.com/office/2006/metadata/properties" xmlns:ns2="3f94a6b0-c8b0-4d14-afb8-c06373c87810" xmlns:ns3="d2743f0d-c1ef-4a9e-a104-a02256c24fdf" targetNamespace="http://schemas.microsoft.com/office/2006/metadata/properties" ma:root="true" ma:fieldsID="1ca233841aa95c27f0ef89a5de83b73c" ns2:_="" ns3:_="">
    <xsd:import namespace="3f94a6b0-c8b0-4d14-afb8-c06373c87810"/>
    <xsd:import namespace="d2743f0d-c1ef-4a9e-a104-a02256c24fdf"/>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94a6b0-c8b0-4d14-afb8-c06373c8781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a262f94f-862c-4923-b0d8-5de80a3b5250"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2743f0d-c1ef-4a9e-a104-a02256c24fdf"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e1ce1e4-3fa6-496e-b956-cc71d68d8baa}" ma:internalName="TaxCatchAll" ma:showField="CatchAllData" ma:web="d2743f0d-c1ef-4a9e-a104-a02256c24fd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2743f0d-c1ef-4a9e-a104-a02256c24fdf" xsi:nil="true"/>
    <lcf76f155ced4ddcb4097134ff3c332f xmlns="3f94a6b0-c8b0-4d14-afb8-c06373c87810">
      <Terms xmlns="http://schemas.microsoft.com/office/infopath/2007/PartnerControls"/>
    </lcf76f155ced4ddcb4097134ff3c332f>
    <ReferenceId xmlns="3f94a6b0-c8b0-4d14-afb8-c06373c87810" xsi:nil="true"/>
  </documentManagement>
</p:properties>
</file>

<file path=customXml/itemProps1.xml><?xml version="1.0" encoding="utf-8"?>
<ds:datastoreItem xmlns:ds="http://schemas.openxmlformats.org/officeDocument/2006/customXml" ds:itemID="{96F18D93-72F5-4EEA-BEC4-BC9E2BE0A4B5}"/>
</file>

<file path=customXml/itemProps2.xml><?xml version="1.0" encoding="utf-8"?>
<ds:datastoreItem xmlns:ds="http://schemas.openxmlformats.org/officeDocument/2006/customXml" ds:itemID="{67D90841-E1DF-490C-B140-8ECCA0BB1A7F}"/>
</file>

<file path=customXml/itemProps3.xml><?xml version="1.0" encoding="utf-8"?>
<ds:datastoreItem xmlns:ds="http://schemas.openxmlformats.org/officeDocument/2006/customXml" ds:itemID="{40B519CF-EE90-4EAF-B7D8-BCAE5E81CCED}"/>
</file>

<file path=docProps/app.xml><?xml version="1.0" encoding="utf-8"?>
<Properties xmlns="http://schemas.openxmlformats.org/officeDocument/2006/extended-properties" xmlns:vt="http://schemas.openxmlformats.org/officeDocument/2006/docPropsVTypes">
  <Application>Microsoft Office Word</Application>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3: Architectural Pattern Selection - Written Justification</dc:title>
  <dc:creator>Pranav Chandrasekar</dc:creator>
  <dc:description>Lab 3 Written Justification - Freight Marketplace</dc:description>
  <cp:lastModifiedBy>Pranav Chandrasekar</cp:lastModifiedBy>
  <cp:revision>1</cp:revision>
  <dcterms:created xsi:type="dcterms:W3CDTF">2026-09-13T13:30:58Z</dcterms:created>
  <dcterms:modified xsi:type="dcterms:W3CDTF">2026-09-13T13:30:58Z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0x010100E9B53AE2E10EFA48A44B32F54394638B</vt:lpwstr>
  </property>
</Properties>
</file>