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</w:pPr>
      <w:r>
        <w:rPr>
          <w:rFonts w:ascii="Aptos Display" w:hAnsi="Aptos Display"/>
          <w:b/>
          <w:color w:val="0F172A"/>
          <w:sz w:val="68"/>
        </w:rPr>
        <w:t>MoEAtlas</w:t>
      </w:r>
    </w:p>
    <w:p>
      <w:pPr>
        <w:spacing w:after="60"/>
      </w:pPr>
      <w:r>
        <w:rPr>
          <w:b/>
          <w:color w:val="0D7490"/>
          <w:sz w:val="32"/>
        </w:rPr>
        <w:t>Open-source observability, analysis &amp; experimentation for Mixture-of-Experts models</w:t>
      </w:r>
    </w:p>
    <w:p>
      <w:r>
        <w:rPr>
          <w:color w:val="475569"/>
          <w:sz w:val="22"/>
        </w:rPr>
        <w:t>Product Requirements Document • Version 1.0 Draft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0FDF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0F766E"/>
              <w:left w:val="single" w:sz="1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2"/>
              </w:rPr>
              <w:t>Recommended project identity</w:t>
            </w:r>
          </w:p>
          <w:p>
            <w:pPr>
              <w:spacing w:after="0"/>
            </w:pPr>
            <w:r>
              <w:t>Product: MoEAtlas  •  Repository/package: MOE-Atlass  •  Python import/CLI: moeatlas  •  Tagline: Map. Inspect. Understand.</w:t>
            </w:r>
          </w:p>
        </w:tc>
      </w:tr>
    </w:tbl>
    <w:p>
      <w:pPr>
        <w:spacing w:after="40"/>
      </w:pPr>
    </w:p>
    <w:p>
      <w:r/>
    </w:p>
    <w:p>
      <w:pPr>
        <w:jc w:val="center"/>
      </w:pPr>
      <w:r>
        <w:rPr>
          <w:color w:val="64748B"/>
          <w:sz w:val="17"/>
        </w:rPr>
        <w:t>Concept architecture: local-first model loading → discovery → instrumentation → run → collection → analysis → visual workspace.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Launch-grade product definition</w:t>
            </w:r>
          </w:p>
        </w:tc>
      </w:tr>
      <w:tr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Primary platform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Local web UI backed by Python/PyTorch</w:t>
            </w:r>
          </w:p>
        </w:tc>
      </w:tr>
      <w:tr>
        <w:tc>
          <w:tcPr>
            <w:tcW w:type="dxa" w:w="2376"/>
            <w:shd w:fill="F1F5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License target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Apache-2.0 for the tool; model licenses remain external</w:t>
            </w:r>
          </w:p>
        </w:tc>
      </w:tr>
    </w:tbl>
    <w:p>
      <w:r/>
    </w:p>
    <w:p>
      <w:pPr>
        <w:pStyle w:val="Heading1"/>
        <w:keepNext/>
      </w:pPr>
      <w:r>
        <w:t>1. Executive Summary</w:t>
      </w:r>
    </w:p>
    <w:p>
      <w:pPr>
        <w:pStyle w:val="Subtitle"/>
        <w:spacing w:after="160"/>
      </w:pPr>
      <w:r>
        <w:t>A standalone research/developer product—not a feature hidden inside a model-transfer project.</w:t>
      </w:r>
    </w:p>
    <w:p>
      <w:pPr>
        <w:spacing w:after="140" w:line="259" w:lineRule="auto"/>
      </w:pPr>
      <w:r>
        <w:t>MoEAtlas is a local-first, open-source application for discovering, instrumenting, visualizing, comparing, and causally testing expert behavior inside PyTorch-executable Mixture-of-Experts (MoE) models. It turns low-level model internals—routers, top-k decisions, expert activations, weights, gradients, and runtime traces—into a reproducible visual workspace for researchers and engineers.</w:t>
      </w:r>
    </w:p>
    <w:p>
      <w:pPr>
        <w:spacing w:after="140" w:line="259" w:lineRule="auto"/>
      </w:pPr>
      <w:r>
        <w:t>The product deliberately sits above PyTorch rather than replacing it. PyTorch remains the execution and hook substrate; Hugging Face Transformers/safetensors are supported loading paths. The Observatory adds the missing product layer: MoE-aware auto-discovery, normalized event schemas, scalable storage, analysis, experiment management, evidence-aware specialization claims, comparison workflows, interventions, and a polished GUI.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FF7ED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C2410C"/>
              <w:left w:val="single" w:sz="18" w:color="C2410C"/>
              <w:bottom w:val="single" w:sz="8" w:color="C2410C"/>
              <w:right w:val="single" w:sz="8" w:color="C2410C"/>
            </w:tcBorders>
          </w:tcPr>
          <w:p>
            <w:r>
              <w:rPr>
                <w:b/>
                <w:color w:val="C2410C"/>
                <w:sz w:val="22"/>
              </w:rPr>
              <w:t>Core differentiator</w:t>
            </w:r>
          </w:p>
          <w:p>
            <w:pPr>
              <w:spacing w:after="0"/>
            </w:pPr>
            <w:r>
              <w:t>Do not equate “frequently routed” with “specialized.” Every expert claim should show its evidence: routing association, representation/activation evidence, and causal effect. This prevents the UI from turning routing heatmaps into unsupported semantic labels.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One-line product definition</w:t>
      </w:r>
    </w:p>
    <w:p>
      <w:pPr>
        <w:spacing w:after="140" w:line="259" w:lineRule="auto"/>
      </w:pPr>
      <w:r>
        <w:t>“A universal visual observability and experimentation layer for sparse expert models.”</w:t>
      </w:r>
    </w:p>
    <w:p>
      <w:pPr>
        <w:pStyle w:val="Heading2"/>
        <w:keepNext/>
      </w:pPr>
      <w:r>
        <w:t>1.2 Why a GUI, not a TUI</w:t>
      </w:r>
    </w:p>
    <w:p>
      <w:pPr>
        <w:pStyle w:val="ListBullet"/>
        <w:spacing w:after="60"/>
      </w:pPr>
      <w:r>
        <w:t>MoE analysis is spatial and comparative: layer × expert matrices, token routing traces, co-activation graphs, distributions, and cross-run differences are substantially easier to understand visually.</w:t>
      </w:r>
    </w:p>
    <w:p>
      <w:pPr>
        <w:pStyle w:val="ListBullet"/>
        <w:spacing w:after="60"/>
      </w:pPr>
      <w:r>
        <w:t>A browser UI can handle linked brushing, filtering, zooming, tooltips, side-by-side experiments, and drill-down without losing context.</w:t>
      </w:r>
    </w:p>
    <w:p>
      <w:pPr>
        <w:pStyle w:val="ListBullet"/>
        <w:spacing w:after="60"/>
      </w:pPr>
      <w:r>
        <w:t>The CLI remains important for automation and headless runs; the GUI is the primary exploration surface, not the only interface.</w:t>
      </w:r>
    </w:p>
    <w:p>
      <w:pPr>
        <w:pStyle w:val="Heading1"/>
        <w:keepNext/>
      </w:pPr>
      <w:r>
        <w:t>2. Product Naming &amp; Positioning</w:t>
      </w:r>
    </w:p>
    <w:p>
      <w:pPr>
        <w:pStyle w:val="Heading2"/>
        <w:keepNext/>
      </w:pPr>
      <w:r>
        <w:t>2.1 Recommended name: MoEAtlas</w:t>
      </w:r>
    </w:p>
    <w:p>
      <w:pPr>
        <w:spacing w:after="140" w:line="259" w:lineRule="auto"/>
      </w:pPr>
      <w:r>
        <w:t>The recommended working name is MoEAtlas. It is descriptive enough for an open-source audience and leaves room for the application to grow beyond probing into comparison, interventions, runtime diagnostics, and sparse-model research. The short CLI/import name “moeatlas” is memorable and practical.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7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259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type="dxa" w:w="468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Product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Signals continuous visibility and research depth rather than a one-off probe.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GitHub repo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MOE-Atlass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Searchable, descriptive, and independent from any model family.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CLI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Short enough for repeated terminal use.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Python package/import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Avoids a long namespace.</w:t>
            </w:r>
          </w:p>
        </w:tc>
      </w:tr>
      <w:tr>
        <w:tc>
          <w:tcPr>
            <w:tcW w:type="dxa" w:w="18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Tagline</w:t>
            </w:r>
          </w:p>
        </w:tc>
        <w:tc>
          <w:tcPr>
            <w:tcW w:type="dxa" w:w="25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Map. Inspect. Understand.</w:t>
            </w:r>
          </w:p>
        </w:tc>
        <w:tc>
          <w:tcPr>
            <w:tcW w:type="dxa" w:w="46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Matches the three major workflows.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EFF6F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D4ED8"/>
              <w:left w:val="single" w:sz="18" w:color="1D4ED8"/>
              <w:bottom w:val="single" w:sz="8" w:color="1D4ED8"/>
              <w:right w:val="single" w:sz="8" w:color="1D4ED8"/>
            </w:tcBorders>
          </w:tcPr>
          <w:p>
            <w:r>
              <w:rPr>
                <w:b/>
                <w:color w:val="1D4ED8"/>
                <w:sz w:val="22"/>
              </w:rPr>
              <w:t>Naming note</w:t>
            </w:r>
          </w:p>
          <w:p>
            <w:pPr>
              <w:spacing w:after="0"/>
            </w:pPr>
            <w:r>
              <w:t>A preliminary web check did not surface a directly competing product using the exact “MoEAtlas” name. This is not a trademark clearance; do a proper GitHub/PyPI/domain/trademark check immediately before public launch.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Product category</w:t>
      </w:r>
    </w:p>
    <w:p>
      <w:pPr>
        <w:spacing w:after="140" w:line="259" w:lineRule="auto"/>
      </w:pPr>
      <w:r>
        <w:t>Position it as “MoE observability and interpretability infrastructure,” not as another visualization demo and not as a general mechanistic-interpretability framework. The product should be valuable to MoE model researchers, infrastructure engineers, fine-tuners, and people comparing sparse architectures.</w:t>
      </w:r>
    </w:p>
    <w:p>
      <w:pPr>
        <w:pStyle w:val="Heading1"/>
        <w:keepNext/>
      </w:pPr>
      <w:r>
        <w:t>3. Market / Tooling Landscape and the Gap</w:t>
      </w:r>
    </w:p>
    <w:p>
      <w:pPr>
        <w:spacing w:after="140" w:line="259" w:lineRule="auto"/>
      </w:pPr>
      <w:r>
        <w:t>The ecosystem already contains excellent primitives and partial solutions. The opportunity is not to rebuild all of them; it is to combine their strongest product patterns into one MoE-native workflow while keeping the core dependency surface small.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65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Tool / family</w:t>
            </w:r>
          </w:p>
        </w:tc>
        <w:tc>
          <w:tcPr>
            <w:tcW w:type="dxa" w:w="252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Documented strength</w:t>
            </w:r>
          </w:p>
        </w:tc>
        <w:tc>
          <w:tcPr>
            <w:tcW w:type="dxa" w:w="295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Gap relative to this product</w:t>
            </w:r>
          </w:p>
        </w:tc>
        <w:tc>
          <w:tcPr>
            <w:tcW w:type="dxa" w:w="201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What to carry forward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PyTorch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Module/parameter introspection, forward/pre/backward hooks, autograd, profiler.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Raw primitives; no MoE semantic discovery, experiment model, normalized routing events, or research UI.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Use as the foundation.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Hugging Face Transformers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Native MoE implementations, router-logit outputs for several families, ExpertsInterface/backends.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Exposure varies by architecture; not a cross-model observability workspace.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Prefer native router outputs when available; fall back to hooks/adapters.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NNsight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General PyTorch tracing, activation cache, gradients, interventions, generation, vLLM support.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General-purpose; MoE expert semantics, specialization analysis, and dedicated visual workflow are not its primary product.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Borrow intervention ergonomics and cache ideas; no hard dependency.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TransformerLens 3 / TransformerBridge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Architecture adapters, standardized hook points, cache/patching across 50+ architecture families.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Mechanistic interpretability is the center; MoE-specific routing/expert workflows are not the product center.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Borrow the adapter philosophy: wrap native model code, do not reimplement forwards.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NVIDIA NeMo AutoModel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MoE load/utilization, dead-expert, diversity, per-layer metrics and W&amp;B logging in supported workflows.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Strong training diagnostics; not an arbitrary-checkpoint, token-level local exploration application.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Adopt load-balance metrics and distributed-awareness patterns.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LibMoE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MoE benchmarking, training/upcycling workflows, routing-dynamics analysis.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Research framework/benchmark orientation rather than a model-agnostic visual profiler for arbitrary checkpoints.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Integrate benchmark-style repeatability and routing metrics.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MixtureKit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Compose/train MoEs and visualize token routing/layer contributions.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Centered on models composed through its framework; not primarily universal post-hoc probing.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Borrow token-level visualization patterns.</w:t>
            </w:r>
          </w:p>
        </w:tc>
      </w:tr>
      <w:tr>
        <w:tc>
          <w:tcPr>
            <w:tcW w:type="dxa" w:w="16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MoE Visualizer / small demos</w:t>
            </w:r>
          </w:p>
        </w:tc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Highly approachable routing animations, histograms, expert networks.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Educational simulation/demo scope rather than real-model research instrumentation.</w:t>
            </w:r>
          </w:p>
        </w:tc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6"/>
              </w:rPr>
              <w:t>Borrow progressive disclosure and intuitive visuals.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3.1 The product gap</w:t>
      </w:r>
    </w:p>
    <w:p>
      <w:pPr>
        <w:pStyle w:val="ListBullet"/>
        <w:spacing w:after="60"/>
      </w:pPr>
      <w:r>
        <w:t>One-click-ish discovery of routers, expert containers, shared experts, top-k semantics, and model capabilities across unrelated Hugging Face/PyTorch architectures.</w:t>
      </w:r>
    </w:p>
    <w:p>
      <w:pPr>
        <w:pStyle w:val="ListBullet"/>
        <w:spacing w:after="60"/>
      </w:pPr>
      <w:r>
        <w:t>A normalized trace format so Qwen, DeepSeek, Mixtral, OLMoE, Switch-style, and future adapters can be analyzed with the same UI and metrics.</w:t>
      </w:r>
    </w:p>
    <w:p>
      <w:pPr>
        <w:pStyle w:val="ListBullet"/>
        <w:spacing w:after="60"/>
      </w:pPr>
      <w:r>
        <w:t>A visual application that connects model structure, individual tokens, routing decisions, expert behavior, weights, causal tests, and runtime costs in one place.</w:t>
      </w:r>
    </w:p>
    <w:p>
      <w:pPr>
        <w:pStyle w:val="ListBullet"/>
        <w:spacing w:after="60"/>
      </w:pPr>
      <w:r>
        <w:t>Cross-run and cross-dataset comparison as a first-class object, rather than a notebook users assemble manually.</w:t>
      </w:r>
    </w:p>
    <w:p>
      <w:pPr>
        <w:pStyle w:val="ListBullet"/>
        <w:spacing w:after="60"/>
      </w:pPr>
      <w:r>
        <w:t>Evidence-aware expert specialization: correlation is separated from causal evidence.</w:t>
      </w:r>
    </w:p>
    <w:p>
      <w:pPr>
        <w:pStyle w:val="ListBullet"/>
        <w:spacing w:after="60"/>
      </w:pPr>
      <w:r>
        <w:t>A plugin SDK so new architectures can be supported without modifying the core engine.</w:t>
      </w:r>
    </w:p>
    <w:p>
      <w:pPr>
        <w:pStyle w:val="ListBullet"/>
        <w:spacing w:after="60"/>
      </w:pPr>
      <w:r>
        <w:t>Local-first reproducibility: model revision, tokenizer revision, dataset hash, environment, capture plan, and tool version stored with every run.</w:t>
      </w:r>
    </w:p>
    <w:p>
      <w:pPr>
        <w:pStyle w:val="Heading1"/>
        <w:keepNext/>
      </w:pPr>
      <w:r>
        <w:t>4. Goals, Non-goals &amp; Product Principles</w:t>
      </w:r>
    </w:p>
    <w:p>
      <w:pPr>
        <w:pStyle w:val="Heading2"/>
        <w:keepNext/>
      </w:pPr>
      <w:r>
        <w:t>4.1 Goals</w:t>
      </w:r>
    </w:p>
    <w:p>
      <w:pPr>
        <w:pStyle w:val="ListBullet"/>
        <w:spacing w:after="60"/>
      </w:pPr>
      <w:r>
        <w:t>Support modern open-weight MoE LLMs that execute through PyTorch, even when their internal module structures differ.</w:t>
      </w:r>
    </w:p>
    <w:p>
      <w:pPr>
        <w:pStyle w:val="ListBullet"/>
        <w:spacing w:after="60"/>
      </w:pPr>
      <w:r>
        <w:t>Make the first useful result available without writing model-specific probing code.</w:t>
      </w:r>
    </w:p>
    <w:p>
      <w:pPr>
        <w:pStyle w:val="ListBullet"/>
        <w:spacing w:after="60"/>
      </w:pPr>
      <w:r>
        <w:t>Provide both a polished local GUI and scriptable Python/CLI interfaces.</w:t>
      </w:r>
    </w:p>
    <w:p>
      <w:pPr>
        <w:pStyle w:val="ListBullet"/>
        <w:spacing w:after="60"/>
      </w:pPr>
      <w:r>
        <w:t>Scale from a single prompt to large evaluation datasets without keeping full traces in GPU memory.</w:t>
      </w:r>
    </w:p>
    <w:p>
      <w:pPr>
        <w:pStyle w:val="ListBullet"/>
        <w:spacing w:after="60"/>
      </w:pPr>
      <w:r>
        <w:t>Make analyses reproducible and exportable.</w:t>
      </w:r>
    </w:p>
    <w:p>
      <w:pPr>
        <w:pStyle w:val="ListBullet"/>
        <w:spacing w:after="60"/>
      </w:pPr>
      <w:r>
        <w:t>Enable passive observation and optional causal interventions without permanently mutating the loaded checkpoint.</w:t>
      </w:r>
    </w:p>
    <w:p>
      <w:pPr>
        <w:pStyle w:val="ListBullet"/>
        <w:spacing w:after="60"/>
      </w:pPr>
      <w:r>
        <w:t>Become useful as a standalone open-source project independent of any future expert-transfer or model-merging research.</w:t>
      </w:r>
    </w:p>
    <w:p>
      <w:pPr>
        <w:pStyle w:val="Heading2"/>
        <w:keepNext/>
      </w:pPr>
      <w:r>
        <w:t>4.2 Non-goals for v1.0</w:t>
      </w:r>
    </w:p>
    <w:p>
      <w:pPr>
        <w:pStyle w:val="ListBullet"/>
        <w:spacing w:after="60"/>
      </w:pPr>
      <w:r>
        <w:t>Training a new MoE model from scratch.</w:t>
      </w:r>
    </w:p>
    <w:p>
      <w:pPr>
        <w:pStyle w:val="ListBullet"/>
        <w:spacing w:after="60"/>
      </w:pPr>
      <w:r>
        <w:t>Being a general replacement for NNsight, TransformerLens, W&amp;B, TensorBoard, or PyTorch Profiler.</w:t>
      </w:r>
    </w:p>
    <w:p>
      <w:pPr>
        <w:pStyle w:val="ListBullet"/>
        <w:spacing w:after="60"/>
      </w:pPr>
      <w:r>
        <w:t>Guaranteeing full semantic capture from every fused/custom inference engine with zero adapters.</w:t>
      </w:r>
    </w:p>
    <w:p>
      <w:pPr>
        <w:pStyle w:val="ListBullet"/>
        <w:spacing w:after="60"/>
      </w:pPr>
      <w:r>
        <w:t>Automatic expert transplantation/merging into another model. The core may export expert identifiers/weights for downstream tools, but model surgery is outside the v1 product boundary.</w:t>
      </w:r>
    </w:p>
    <w:p>
      <w:pPr>
        <w:pStyle w:val="ListBullet"/>
        <w:spacing w:after="60"/>
      </w:pPr>
      <w:r>
        <w:t>Cloud-hosting user models by default. The default execution model is local-first.</w:t>
      </w:r>
    </w:p>
    <w:p>
      <w:pPr>
        <w:pStyle w:val="Heading2"/>
        <w:keepNext/>
      </w:pPr>
      <w:r>
        <w:t>4.3 Product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Principle</w:t>
            </w:r>
          </w:p>
        </w:tc>
        <w:tc>
          <w:tcPr>
            <w:tcW w:type="dxa" w:w="691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Implication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Native-first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Observe the model’s real implementation. Do not rewrite an architecture merely to instrument it.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Passive by default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 normal probe run must not change model outputs. Interventions are explicit, isolated experiment types.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Evidence over labels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Never call an expert “code,” “security,” or “math” without showing how that conclusion was measured.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Progressive disclosure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 new user gets a heatmap and summary; an expert can drill into raw logits, tensors, module paths, and trace events.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Portable data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Runs belong to the user. Export Parquet/JSON/CSV and static figures without a proprietary backend.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Extensible core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Architecture peculiarities live in adapters/plugins, not in a growing pile of core conditionals.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Target Users &amp; Jobs To Be Done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Persona</w:t>
            </w:r>
          </w:p>
        </w:tc>
        <w:tc>
          <w:tcPr>
            <w:tcW w:type="dxa" w:w="676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Primary job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 researcher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Which experts activate for a task, how stable is routing, and is a claimed specialist causally important?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Interpretability researcher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Collect activations/gradients, compare layers, perform ablations/reroutes, and export traces for downstream analysis.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 engineer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Detect dead/overloaded experts, compare model revisions, inspect router entropy, and identify anomalous layers.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Inference engineer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Correlate routing behavior with expert latency/memory and identify hot expert sets.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Fine-tuning researcher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Compare routing before/after fine-tuning or across datasets and quantify specialization drift.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Open-source model user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Understand an unfamiliar MoE checkpoint without reading thousands of lines of model code.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End-to-End User Experience</w:t>
      </w:r>
    </w:p>
    <w:p>
      <w:pPr>
        <w:spacing w:after="140" w:line="259" w:lineRule="auto"/>
      </w:pPr>
      <w:r>
        <w:t>The primary flow should feel like a profiler: load a model, scan, choose what to record, run prompts or a dataset, and inspect results. Users should not need to know the router module path before they begin.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34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User experience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1. Launch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`moeatlas ui` starts a local server and opens the browser workspace.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2. Add model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Choose Hugging Face ID, local Transformers directory, or Python loader. Show dtype/device/quantization options.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3. Scan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Build a model structure graph and identify candidate MoE layers, routers, expert containers, shared experts, top-k, and capture capabilities.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4. Review probe plan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User sees what can be captured exactly, approximately, or not at all. Defaults to routing-only + lightweight stats.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5. Create run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Enter prompts, import JSONL/CSV/HF dataset, or select a saved prompt set. Configure generation and sampling.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6. Execute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Stream progress and lightweight routing summaries. Raw events are detached and written incrementally to storage.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7. Explore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Open overview heatmaps, layer/router/expert views, token routing, distributions, and run metadata.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8. Compare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Compare datasets, runs, revisions, or models using normalized metrics and aligned layer/expert identities where possible.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9. Test causality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Create an intervention run: ablate, scale, reroute, or alter router behavior; compare output/loss/metric deltas.</w:t>
            </w:r>
          </w:p>
        </w:tc>
      </w:tr>
      <w:tr>
        <w:tc>
          <w:tcPr>
            <w:tcW w:type="dxa" w:w="180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10. Export</w:t>
            </w:r>
          </w:p>
        </w:tc>
        <w:tc>
          <w:tcPr>
            <w:tcW w:type="dxa" w:w="73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Export traces, metrics, figures, report bundle, and reproducibility manifest.</w:t>
            </w:r>
          </w:p>
        </w:tc>
      </w:tr>
    </w:tbl>
    <w:p>
      <w:pPr>
        <w:spacing w:after="40"/>
      </w:pPr>
    </w:p>
    <w:p>
      <w:r/>
    </w:p>
    <w:p>
      <w:pPr>
        <w:jc w:val="center"/>
      </w:pPr>
      <w:r>
        <w:rPr>
          <w:color w:val="64748B"/>
          <w:sz w:val="17"/>
        </w:rPr>
        <w:t>Concept UI direction: dense research dashboard with drill-down, not a decorative landing page.</w:t>
      </w:r>
    </w:p>
    <w:p>
      <w:pPr>
        <w:pStyle w:val="Heading1"/>
        <w:keepNext/>
      </w:pPr>
      <w:r>
        <w:t>7. Functional Requirements — Model Loading &amp; Discovery</w:t>
      </w:r>
    </w:p>
    <w:p>
      <w:pPr>
        <w:pStyle w:val="Heading2"/>
        <w:keepNext/>
      </w:pPr>
      <w:r>
        <w:t>7.1 Model sources</w:t>
      </w:r>
    </w:p>
    <w:p>
      <w:pPr>
        <w:pStyle w:val="ListBullet"/>
        <w:spacing w:after="60"/>
      </w:pPr>
      <w:r>
        <w:t>Hugging Face Hub model ID with revision pinning.</w:t>
      </w:r>
    </w:p>
    <w:p>
      <w:pPr>
        <w:pStyle w:val="ListBullet"/>
        <w:spacing w:after="60"/>
      </w:pPr>
      <w:r>
        <w:t>Local Transformers-compatible checkpoint directory.</w:t>
      </w:r>
    </w:p>
    <w:p>
      <w:pPr>
        <w:pStyle w:val="ListBullet"/>
        <w:spacing w:after="60"/>
      </w:pPr>
      <w:r>
        <w:t>Already-instantiated `torch.nn.Module` through the Python API.</w:t>
      </w:r>
    </w:p>
    <w:p>
      <w:pPr>
        <w:pStyle w:val="ListBullet"/>
        <w:spacing w:after="60"/>
      </w:pPr>
      <w:r>
        <w:t>Custom loader function/plugin for research models.</w:t>
      </w:r>
    </w:p>
    <w:p>
      <w:pPr>
        <w:pStyle w:val="ListBullet"/>
        <w:spacing w:after="60"/>
      </w:pPr>
      <w:r>
        <w:t>Initial formats: Transformers + safetensors/PyTorch checkpoints. GGUF/llama.cpp and non-PyTorch runtimes are adapter/back-end roadmap items rather than pretending they are ordinary PyTorch modules.</w:t>
      </w:r>
    </w:p>
    <w:p>
      <w:pPr>
        <w:pStyle w:val="Heading2"/>
        <w:keepNext/>
      </w:pPr>
      <w:r>
        <w:t>7.2 Load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type="dxa" w:w="705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Device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CPU, CUDA; support `device_map`/multi-GPU where the loader supports it. MPS is best-effort.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Dtype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fp32/fp16/bf16; preserve checkpoint defaults where safe.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Quantization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Expose supported loader options, but show capture limitations if quantized/fused modules hide internals.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Remote code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Off by default. If `trust_remote_code` is requested, show a security warning and record it in the run manifest.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Always resolve and store immutable revision/commit when available.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Tokenizer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Store tokenizer identity/revision separately from model revision.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7.3 Universal discovery engine</w:t>
      </w:r>
    </w:p>
    <w:p>
      <w:pPr>
        <w:spacing w:after="140" w:line="259" w:lineRule="auto"/>
      </w:pPr>
      <w:r>
        <w:t>Discovery should combine multiple signals and produce confidence-scored candidates rather than relying on a single class name.</w:t>
      </w:r>
    </w:p>
    <w:p>
      <w:pPr>
        <w:pStyle w:val="ListBullet"/>
        <w:spacing w:after="60"/>
      </w:pPr>
      <w:r>
        <w:t>Static module traversal: `named_modules()`, `named_parameters()`, buffers, class names, module paths.</w:t>
      </w:r>
    </w:p>
    <w:p>
      <w:pPr>
        <w:pStyle w:val="ListBullet"/>
        <w:spacing w:after="60"/>
      </w:pPr>
      <w:r>
        <w:t>Config signals: common expert-count, routed-expert-count, top-k, shared-expert, and MoE-layer fields.</w:t>
      </w:r>
    </w:p>
    <w:p>
      <w:pPr>
        <w:pStyle w:val="ListBullet"/>
        <w:spacing w:after="60"/>
      </w:pPr>
      <w:r>
        <w:t>Structural signals: linear/router-like modules whose output dimension matches expert count; expert containers/lists or packed expert tensors.</w:t>
      </w:r>
    </w:p>
    <w:p>
      <w:pPr>
        <w:pStyle w:val="ListBullet"/>
        <w:spacing w:after="60"/>
      </w:pPr>
      <w:r>
        <w:t>Weight-shape signals: stacked expert projections, per-expert parameter groups, shared expert blocks.</w:t>
      </w:r>
    </w:p>
    <w:p>
      <w:pPr>
        <w:pStyle w:val="ListBullet"/>
        <w:spacing w:after="60"/>
      </w:pPr>
      <w:r>
        <w:t>Optional dry-run verification: observe candidate tensor shapes to confirm that a router emits expert-dimensional scores or top-k indices.</w:t>
      </w:r>
    </w:p>
    <w:p>
      <w:pPr>
        <w:pStyle w:val="ListBullet"/>
        <w:spacing w:after="60"/>
      </w:pPr>
      <w:r>
        <w:t>Adapter override: a plugin can declare authoritative paths/decoders for an architecture family.</w:t>
      </w:r>
    </w:p>
    <w:p>
      <w:pPr>
        <w:pStyle w:val="Heading2"/>
        <w:keepNext/>
      </w:pPr>
      <w:r>
        <w:t>7.4 Scan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691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 content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 fingerprint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Architecture, revision, config hash, parameter count, dtype/device map.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 layer manifest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Layer path, layer index, expert count, routed top-k, shared experts.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Router manifest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Module path, input/output shapes, capture method, logits/probabilities/top-k availability.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Expert manifest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Container path, expert IDs, projection tensor shapes, packed vs individual modules.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Capability tier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Full semantic / routing-only / module-level / unsupported internal operation.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Warnings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Fused kernel, compiled path, remote code, quantization, unsupported shared-expert logic, ambiguous detection.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8. Functional Requirements — Instrumentation Engine</w:t>
      </w:r>
    </w:p>
    <w:p>
      <w:pPr>
        <w:pStyle w:val="Heading2"/>
        <w:keepNext/>
      </w:pPr>
      <w:r>
        <w:t>8.1 Capture hierarchy</w:t>
      </w:r>
    </w:p>
    <w:p>
      <w:pPr>
        <w:spacing w:after="140" w:line="259" w:lineRule="auto"/>
      </w:pPr>
      <w:r>
        <w:t>The engine should prefer the most semantically reliable source available for each architecture:</w:t>
      </w:r>
    </w:p>
    <w:p>
      <w:pPr>
        <w:pStyle w:val="ListNumber"/>
        <w:spacing w:after="80"/>
      </w:pPr>
      <w:r>
        <w:t>Native model outputs/config flags when they expose router logits/top-k directly.</w:t>
      </w:r>
    </w:p>
    <w:p>
      <w:pPr>
        <w:pStyle w:val="ListNumber"/>
        <w:spacing w:after="80"/>
      </w:pPr>
      <w:r>
        <w:t>Hooks on explicit router/expert `nn.Module` boundaries.</w:t>
      </w:r>
    </w:p>
    <w:p>
      <w:pPr>
        <w:pStyle w:val="ListNumber"/>
        <w:spacing w:after="80"/>
      </w:pPr>
      <w:r>
        <w:t>Adapter-specific decoding of packed/fused module inputs/outputs.</w:t>
      </w:r>
    </w:p>
    <w:p>
      <w:pPr>
        <w:pStyle w:val="ListNumber"/>
        <w:spacing w:after="80"/>
      </w:pPr>
      <w:r>
        <w:t>Optional source/intermediate-operation interception for cases where important routing logic occurs inside a module rather than a child module.</w:t>
      </w:r>
    </w:p>
    <w:p>
      <w:pPr>
        <w:pStyle w:val="ListNumber"/>
        <w:spacing w:after="80"/>
      </w:pPr>
      <w:r>
        <w:t>Backend-specific instrumentation plugin for runtimes that are not transparent PyTorch module graphs.</w:t>
      </w:r>
    </w:p>
    <w:p>
      <w:pPr>
        <w:pStyle w:val="Heading2"/>
        <w:keepNext/>
      </w:pPr>
      <w:r>
        <w:t>8.2 Probe levels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Probe level</w:t>
            </w:r>
          </w:p>
        </w:tc>
        <w:tc>
          <w:tcPr>
            <w:tcW w:type="dxa" w:w="684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Captured scope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Level 0 — Structure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 inference required. Modules, weights, config, shapes, fingerprints.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Level 1 — Routing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Per-token router score/logit when available, top-k IDs, top-k weights, load/utilization.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Level 2 — Expert activity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Expert inputs/outputs, norms, contribution magnitude, timing where measurable.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Level 3 — Full activations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Selected hidden states/tensors. Explicitly opt-in because data volume is large.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Level 4 — Gradients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Backward/gradient capture for chosen objectives or supervised datasets.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Level 5 — Intervention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Transient edits/ablation/rerouting for causal experiments.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8.3 Hook lifecycle</w:t>
      </w:r>
    </w:p>
    <w:p>
      <w:pPr>
        <w:pStyle w:val="ListBullet"/>
        <w:spacing w:after="60"/>
      </w:pPr>
      <w:r>
        <w:t>Hooks are registered from a compiled Probe Plan and stored as handles.</w:t>
      </w:r>
    </w:p>
    <w:p>
      <w:pPr>
        <w:pStyle w:val="ListBullet"/>
        <w:spacing w:after="60"/>
      </w:pPr>
      <w:r>
        <w:t>Every run uses a context manager that guarantees cleanup on success, cancellation, or exception.</w:t>
      </w:r>
    </w:p>
    <w:p>
      <w:pPr>
        <w:pStyle w:val="ListBullet"/>
        <w:spacing w:after="60"/>
      </w:pPr>
      <w:r>
        <w:t>Captured tensors are detached immediately unless gradients are explicitly requested.</w:t>
      </w:r>
    </w:p>
    <w:p>
      <w:pPr>
        <w:pStyle w:val="ListBullet"/>
        <w:spacing w:after="60"/>
      </w:pPr>
      <w:r>
        <w:t>Large values are reduced on-device where possible (norm/statistics) before transfer to CPU.</w:t>
      </w:r>
    </w:p>
    <w:p>
      <w:pPr>
        <w:pStyle w:val="ListBullet"/>
        <w:spacing w:after="60"/>
      </w:pPr>
      <w:r>
        <w:t>Raw tensor capture uses quotas and sampling to prevent accidental memory explosions.</w:t>
      </w:r>
    </w:p>
    <w:p>
      <w:pPr>
        <w:pStyle w:val="ListBullet"/>
        <w:spacing w:after="60"/>
      </w:pPr>
      <w:r>
        <w:t>Passive mode includes an output-equivalence sanity check option: with and without hooks must match within tolerance.</w:t>
      </w:r>
    </w:p>
    <w:p>
      <w:pPr>
        <w:pStyle w:val="Heading2"/>
        <w:keepNext/>
      </w:pPr>
      <w:r>
        <w:t>8.4 Fused/compiled-model behavior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EF2F2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B91C1C"/>
              <w:left w:val="single" w:sz="18" w:color="B91C1C"/>
              <w:bottom w:val="single" w:sz="8" w:color="B91C1C"/>
              <w:right w:val="single" w:sz="8" w:color="B91C1C"/>
            </w:tcBorders>
          </w:tcPr>
          <w:p>
            <w:r>
              <w:rPr>
                <w:b/>
                <w:color w:val="B91C1C"/>
                <w:sz w:val="22"/>
              </w:rPr>
              <w:t>Reality check</w:t>
            </w:r>
          </w:p>
          <w:p>
            <w:pPr>
              <w:spacing w:after="0"/>
            </w:pPr>
            <w:r>
              <w:t>PyTorch exposes module boundaries extremely well, but a fused expert kernel may collapse several logical steps into one operation. The product therefore promises universal discovery/instrumentation at the PyTorch level plus adapter extensibility—not magical access to every internal kernel with zero work.</w:t>
            </w:r>
          </w:p>
        </w:tc>
      </w:tr>
    </w:tbl>
    <w:p>
      <w:pPr>
        <w:spacing w:after="40"/>
      </w:pPr>
    </w:p>
    <w:p>
      <w:pPr>
        <w:spacing w:after="140" w:line="259" w:lineRule="auto"/>
      </w:pPr>
      <w:r>
        <w:t>When exact trace fidelity is required, default analysis mode should favor eager/native execution and explicitly report when `torch.compile`, custom Triton/CUDA kernels, vLLM, or other runtimes change visibility. Backend adapters can add deeper capture later.</w:t>
      </w:r>
    </w:p>
    <w:p>
      <w:pPr>
        <w:pStyle w:val="Heading1"/>
        <w:keepNext/>
      </w:pPr>
      <w:r>
        <w:t>9. Functional Requirements — Prompt, Dataset &amp; Run Engine</w:t>
      </w:r>
    </w:p>
    <w:p>
      <w:pPr>
        <w:pStyle w:val="Heading2"/>
        <w:keepNext/>
      </w:pPr>
      <w:r>
        <w:t>9.1 Prompt Lab</w:t>
      </w:r>
    </w:p>
    <w:p>
      <w:pPr>
        <w:pStyle w:val="ListBullet"/>
        <w:spacing w:after="60"/>
      </w:pPr>
      <w:r>
        <w:t>Chat-template aware text input with system/user/assistant roles when supported.</w:t>
      </w:r>
    </w:p>
    <w:p>
      <w:pPr>
        <w:pStyle w:val="ListBullet"/>
        <w:spacing w:after="60"/>
      </w:pPr>
      <w:r>
        <w:t>Generation controls: max new tokens, temperature, top-p, top-k sampling, seed, repetition settings, stop sequences.</w:t>
      </w:r>
    </w:p>
    <w:p>
      <w:pPr>
        <w:pStyle w:val="ListBullet"/>
        <w:spacing w:after="60"/>
      </w:pPr>
      <w:r>
        <w:t>Prompt token preview with token IDs and decoded pieces.</w:t>
      </w:r>
    </w:p>
    <w:p>
      <w:pPr>
        <w:pStyle w:val="ListBullet"/>
        <w:spacing w:after="60"/>
      </w:pPr>
      <w:r>
        <w:t>Live generated text with a synchronized token-route strip.</w:t>
      </w:r>
    </w:p>
    <w:p>
      <w:pPr>
        <w:pStyle w:val="ListBullet"/>
        <w:spacing w:after="60"/>
      </w:pPr>
      <w:r>
        <w:t>Save prompt as a reusable test case or prompt set.</w:t>
      </w:r>
    </w:p>
    <w:p>
      <w:pPr>
        <w:pStyle w:val="Heading2"/>
        <w:keepNext/>
      </w:pPr>
      <w:r>
        <w:t>9.2 Dataset runs</w:t>
      </w:r>
    </w:p>
    <w:p>
      <w:pPr>
        <w:pStyle w:val="ListBullet"/>
        <w:spacing w:after="60"/>
      </w:pPr>
      <w:r>
        <w:t>JSONL, CSV, text files, Python iterables, and optional Hugging Face Datasets integration.</w:t>
      </w:r>
    </w:p>
    <w:p>
      <w:pPr>
        <w:pStyle w:val="ListBullet"/>
        <w:spacing w:after="60"/>
      </w:pPr>
      <w:r>
        <w:t>Column mapping for prompt/input/label/task/domain/metadata.</w:t>
      </w:r>
    </w:p>
    <w:p>
      <w:pPr>
        <w:pStyle w:val="ListBullet"/>
        <w:spacing w:after="60"/>
      </w:pPr>
      <w:r>
        <w:t>Task labels are user data, not inferred truth; preserve provenance.</w:t>
      </w:r>
    </w:p>
    <w:p>
      <w:pPr>
        <w:pStyle w:val="ListBullet"/>
        <w:spacing w:after="60"/>
      </w:pPr>
      <w:r>
        <w:t>Batch size, sample cap, shuffle, seed, and resume-from-checkpoint.</w:t>
      </w:r>
    </w:p>
    <w:p>
      <w:pPr>
        <w:pStyle w:val="ListBullet"/>
        <w:spacing w:after="60"/>
      </w:pPr>
      <w:r>
        <w:t>Generation vs teacher-forced/scoring modes.</w:t>
      </w:r>
    </w:p>
    <w:p>
      <w:pPr>
        <w:pStyle w:val="ListBullet"/>
        <w:spacing w:after="60"/>
      </w:pPr>
      <w:r>
        <w:t>Progress, ETA-free status indicators, cancellation, resumable output, error rows.</w:t>
      </w:r>
    </w:p>
    <w:p>
      <w:pPr>
        <w:pStyle w:val="Heading2"/>
        <w:keepNext/>
      </w:pPr>
      <w:r>
        <w:t>9.3 Run manifest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Manifest group</w:t>
            </w:r>
          </w:p>
        </w:tc>
        <w:tc>
          <w:tcPr>
            <w:tcW w:type="dxa" w:w="705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Stored metadata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Run ID, project/workspace, timestamp, user-defined tags.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 ID/path, revision, config hash, tokenizer revision, quantization.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Execution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PyTorch/Transformers/tool versions, device map, GPU/CPU metadata.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Probe plan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Capture level, included/excluded layers, tensor reductions, sampling.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Prompt/dataset fingerprint, row count, task labels, preprocessing config.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Generation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All deterministic/sampling parameters and random seed.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Intervention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Exact intervention recipe and target experts/layers, if applicable.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Canonical Data Model &amp; Storage</w:t>
      </w:r>
    </w:p>
    <w:p>
      <w:pPr>
        <w:spacing w:after="140" w:line="259" w:lineRule="auto"/>
      </w:pPr>
      <w:r>
        <w:t>A normalized schema is the foundation for universal UI and cross-model comparison. Model-specific tensors are decoded into stable events; raw payloads may be preserved as optional artifacts.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05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Key fields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ModelManifest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model_key, architecture, revision, config_hash, tokenizer, dtype, device_map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ComponentManifest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component_key, kind, module_path, layer_index, expert_index, tensor_shapes, capabilities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Run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run_key, model_key, dataset_key, probe_plan, generation_config, environment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TokenEvent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run_key, sequence_id, token_pos, token_id, token_text, phase=prefill/decode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RoutingEvent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token_key, layer_key, rank, expert_key, router_logit, probability/weight, selected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ExpertEvent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token_key, expert_key, input_norm, output_norm, contribution_norm, latency, metadata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Metric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scope, metric_name, value, aggregation, slice/task/domain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InterventionEvent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target, operation, magnitude, baseline_run, result_run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Artifact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Parquet shard, tensor file, figure, report, raw profiler trace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Storage architecture</w:t>
      </w:r>
    </w:p>
    <w:p>
      <w:pPr>
        <w:pStyle w:val="ListBullet"/>
        <w:spacing w:after="60"/>
      </w:pPr>
      <w:r>
        <w:t>DuckDB for local metadata/analytics and interactive aggregations.</w:t>
      </w:r>
    </w:p>
    <w:p>
      <w:pPr>
        <w:pStyle w:val="ListBullet"/>
        <w:spacing w:after="60"/>
      </w:pPr>
      <w:r>
        <w:t>Parquet for high-volume routing/expert events, partitioned by run/layer or run/event type.</w:t>
      </w:r>
    </w:p>
    <w:p>
      <w:pPr>
        <w:pStyle w:val="ListBullet"/>
        <w:spacing w:after="60"/>
      </w:pPr>
      <w:r>
        <w:t>Optional tensor artifacts in safetensors/NumPy-compatible files for selected full activations.</w:t>
      </w:r>
    </w:p>
    <w:p>
      <w:pPr>
        <w:pStyle w:val="ListBullet"/>
        <w:spacing w:after="60"/>
      </w:pPr>
      <w:r>
        <w:t>Append/stream writes during execution; never require the entire trace to remain in RAM.</w:t>
      </w:r>
    </w:p>
    <w:p>
      <w:pPr>
        <w:pStyle w:val="ListBullet"/>
        <w:spacing w:after="60"/>
      </w:pPr>
      <w:r>
        <w:t>Schema version in every run; migration tools for older traces.</w:t>
      </w:r>
    </w:p>
    <w:p>
      <w:pPr>
        <w:pStyle w:val="ListBullet"/>
        <w:spacing w:after="60"/>
      </w:pPr>
      <w:r>
        <w:t>Workspace is a normal directory that can be zipped, versioned, moved, or deleted by the user.</w:t>
      </w:r>
    </w:p>
    <w:p>
      <w:pPr>
        <w:pStyle w:val="Heading1"/>
        <w:keepNext/>
      </w:pPr>
      <w:r>
        <w:t>11. Analysis Engine — Required Metrics</w:t>
      </w:r>
    </w:p>
    <w:p>
      <w:pPr>
        <w:pStyle w:val="Heading2"/>
        <w:keepNext/>
      </w:pPr>
      <w:r>
        <w:t>11.1 Routing and load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691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Expert utilization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Token assignments per expert; raw count and share.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Load ratio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Observed load divided by ideal uniform load.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Dead expert fraction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Experts receiving zero assignments for a slice.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Routing entropy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Shannon entropy per token/layer and aggregated; normalized option.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Expert diversity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Effective expert count / normalized entropy-derived diversity.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Coefficient of variation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Load dispersion across experts.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Gini coefficient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Inequality of expert usage.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Top-expert share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Concentration in the most used experts.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Router margin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Difference between selected top scores; indicates routing confidence.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 churn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How expert selection changes across adjacent generated tokens or prompt perturbations.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11.2 Task/domain association</w:t>
      </w:r>
    </w:p>
    <w:p>
      <w:pPr>
        <w:pStyle w:val="ListBullet"/>
        <w:spacing w:after="60"/>
      </w:pPr>
      <w:r>
        <w:t>Enrichment: P(expert | task) / P(expert).</w:t>
      </w:r>
    </w:p>
    <w:p>
      <w:pPr>
        <w:pStyle w:val="ListBullet"/>
        <w:spacing w:after="60"/>
      </w:pPr>
      <w:r>
        <w:t>Pointwise mutual information or mutual information between expert selection and task/domain labels.</w:t>
      </w:r>
    </w:p>
    <w:p>
      <w:pPr>
        <w:pStyle w:val="ListBullet"/>
        <w:spacing w:after="60"/>
      </w:pPr>
      <w:r>
        <w:t>Per-layer task separability from routing distributions.</w:t>
      </w:r>
    </w:p>
    <w:p>
      <w:pPr>
        <w:pStyle w:val="ListBullet"/>
        <w:spacing w:after="60"/>
      </w:pPr>
      <w:r>
        <w:t>Expert exclusivity vs generality across tasks.</w:t>
      </w:r>
    </w:p>
    <w:p>
      <w:pPr>
        <w:pStyle w:val="ListBullet"/>
        <w:spacing w:after="60"/>
      </w:pPr>
      <w:r>
        <w:t>Prompt-level vs rollout-level routing agreement.</w:t>
      </w:r>
    </w:p>
    <w:p>
      <w:pPr>
        <w:pStyle w:val="ListBullet"/>
        <w:spacing w:after="60"/>
      </w:pPr>
      <w:r>
        <w:t>Cross-run stability of expert-task association.</w:t>
      </w:r>
    </w:p>
    <w:p>
      <w:pPr>
        <w:pStyle w:val="Heading2"/>
        <w:keepNext/>
      </w:pPr>
      <w:r>
        <w:t>11.3 Expert-level behavior beyond routing</w:t>
      </w:r>
    </w:p>
    <w:p>
      <w:pPr>
        <w:pStyle w:val="ListBullet"/>
        <w:spacing w:after="60"/>
      </w:pPr>
      <w:r>
        <w:t>Expert input/output activation norms and contribution magnitudes.</w:t>
      </w:r>
    </w:p>
    <w:p>
      <w:pPr>
        <w:pStyle w:val="ListBullet"/>
        <w:spacing w:after="60"/>
      </w:pPr>
      <w:r>
        <w:t>Expert weight statistics and projection similarity.</w:t>
      </w:r>
    </w:p>
    <w:p>
      <w:pPr>
        <w:pStyle w:val="ListBullet"/>
        <w:spacing w:after="60"/>
      </w:pPr>
      <w:r>
        <w:t>Representation similarity between experts using selected activation summaries.</w:t>
      </w:r>
    </w:p>
    <w:p>
      <w:pPr>
        <w:pStyle w:val="ListBullet"/>
        <w:spacing w:after="60"/>
      </w:pPr>
      <w:r>
        <w:t>Gradient magnitude/attribution for chosen objectives.</w:t>
      </w:r>
    </w:p>
    <w:p>
      <w:pPr>
        <w:pStyle w:val="ListBullet"/>
        <w:spacing w:after="60"/>
      </w:pPr>
      <w:r>
        <w:t>Expert co-activation and conditional co-routing graphs.</w:t>
      </w:r>
    </w:p>
    <w:p>
      <w:pPr>
        <w:pStyle w:val="ListBullet"/>
        <w:spacing w:after="60"/>
      </w:pPr>
      <w:r>
        <w:t>Shared-expert vs routed-expert contribution comparison.</w:t>
      </w:r>
    </w:p>
    <w:p>
      <w:pPr>
        <w:pStyle w:val="Heading2"/>
        <w:keepNext/>
      </w:pPr>
      <w:r>
        <w:t>11.4 Causal metrics</w:t>
      </w:r>
    </w:p>
    <w:p>
      <w:pPr>
        <w:pStyle w:val="ListBullet"/>
        <w:spacing w:after="60"/>
      </w:pPr>
      <w:r>
        <w:t>Ablation delta: change in loss, target-token probability, benchmark score, or user metric when an expert is suppressed.</w:t>
      </w:r>
    </w:p>
    <w:p>
      <w:pPr>
        <w:pStyle w:val="ListBullet"/>
        <w:spacing w:after="60"/>
      </w:pPr>
      <w:r>
        <w:t>Reroute delta: change when routing to next-best, chosen, or controlled alternative experts at equal compute.</w:t>
      </w:r>
    </w:p>
    <w:p>
      <w:pPr>
        <w:pStyle w:val="ListBullet"/>
        <w:spacing w:after="60"/>
      </w:pPr>
      <w:r>
        <w:t>Expert scaling sensitivity: response curve when contribution is scaled.</w:t>
      </w:r>
    </w:p>
    <w:p>
      <w:pPr>
        <w:pStyle w:val="ListBullet"/>
        <w:spacing w:after="60"/>
      </w:pPr>
      <w:r>
        <w:t>Counterfactual routing regret: difference between normal route and sampled/selected alternative routes under the same objective.</w:t>
      </w:r>
    </w:p>
    <w:p>
      <w:pPr>
        <w:pStyle w:val="ListBullet"/>
        <w:spacing w:after="60"/>
      </w:pPr>
      <w:r>
        <w:t>Causal stability: whether an expert’s measured effect persists across examples, seeds, or paraphrases.</w:t>
      </w:r>
    </w:p>
    <w:p>
      <w:pPr>
        <w:pStyle w:val="Heading2"/>
        <w:keepNext/>
      </w:pPr>
      <w:r>
        <w:t>11.5 Specialization Evidence 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0FDFA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0F766E"/>
              <w:left w:val="single" w:sz="18" w:color="0F766E"/>
              <w:bottom w:val="single" w:sz="8" w:color="0F766E"/>
              <w:right w:val="single" w:sz="8" w:color="0F766E"/>
            </w:tcBorders>
          </w:tcPr>
          <w:p>
            <w:r>
              <w:rPr>
                <w:b/>
                <w:color w:val="0F766E"/>
                <w:sz w:val="22"/>
              </w:rPr>
              <w:t>No single “specialization score” by default</w:t>
            </w:r>
          </w:p>
          <w:p>
            <w:pPr>
              <w:spacing w:after="0"/>
            </w:pPr>
            <w:r>
              <w:t>The UI should present a structured evidence card rather than collapsing everything into a seductive but ambiguous scalar. A composite score may be optional, but its components must remain visible.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94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Evidence tier</w:t>
            </w:r>
          </w:p>
        </w:tc>
        <w:tc>
          <w:tcPr>
            <w:tcW w:type="dxa" w:w="295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424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 evidence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 — Routing association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Does this task route here more often?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Enrichment, PMI, top-k share, routing stability.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 — Internal behavior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Does the expert respond differently on this task?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Activation/output norms, representation separability, gradients.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 — Causal contribution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Does changing this expert change task performance/output?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Ablation, rerouting, scaling, counterfactual deltas.</w:t>
            </w:r>
          </w:p>
        </w:tc>
      </w:tr>
      <w:tr>
        <w:tc>
          <w:tcPr>
            <w:tcW w:type="dxa" w:w="19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 — Replication</w:t>
            </w:r>
          </w:p>
        </w:tc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Does the result persist?</w:t>
            </w:r>
          </w:p>
        </w:tc>
        <w:tc>
          <w:tcPr>
            <w:tcW w:type="dxa" w:w="424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Across datasets, paraphrases, seeds, model revisions.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12. GUI Information Architecture</w:t>
      </w:r>
    </w:p>
    <w:p>
      <w:pPr>
        <w:spacing w:after="140" w:line="259" w:lineRule="auto"/>
      </w:pPr>
      <w:r>
        <w:t>The UI is a local web application. It should feel like a blend of a profiler, model explorer, and experiment notebook—high information density, fast filtering, linked views, and minimal decorative chrome.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684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Home / Overview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Recent models/runs, system resources, quick start, compatibility status.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Installed/recent models, scan status, architecture/capability summary.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 Explorer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Module tree + semantic overlay for blocks, routers, experts, shared experts.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Runs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Run history, status, tags, dataset, probe level, runtime, trace size.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Prompt Lab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Interactive prompt/generation with synchronized routing visualization.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Routing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Heatmaps, entropy, load, token routes, co-routing, filters.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Experts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Searchable expert catalog and expert detail pages.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Compare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Run/model/dataset comparison workspace.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Interventions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Create and inspect causal experiment recipes/results.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Profiler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Latency/memory/operator summaries linked to MoE layers/experts where possible.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Data / Datasets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Dataset imports, slices, labels, hashes, row previews.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Exports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Traces, metrics, figures, reproducibility bundles.</w:t>
            </w:r>
          </w:p>
        </w:tc>
      </w:tr>
      <w:tr>
        <w:tc>
          <w:tcPr>
            <w:tcW w:type="dxa" w:w="230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Plugins &amp; Settings</w:t>
            </w:r>
          </w:p>
        </w:tc>
        <w:tc>
          <w:tcPr>
            <w:tcW w:type="dxa" w:w="684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Adapters, storage, privacy, appearance, experimental flags.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GUI Screen Specifications</w:t>
      </w:r>
    </w:p>
    <w:p>
      <w:pPr>
        <w:pStyle w:val="Heading2"/>
        <w:keepNext/>
      </w:pPr>
      <w:r>
        <w:t>13.1 Global shell</w:t>
      </w:r>
    </w:p>
    <w:p>
      <w:pPr>
        <w:pStyle w:val="ListBullet"/>
        <w:spacing w:after="60"/>
      </w:pPr>
      <w:r>
        <w:t>Left sidebar for primary navigation; collapsible to icons.</w:t>
      </w:r>
    </w:p>
    <w:p>
      <w:pPr>
        <w:pStyle w:val="ListBullet"/>
        <w:spacing w:after="60"/>
      </w:pPr>
      <w:r>
        <w:t>Top context bar with active model, run, dataset/slice, device, and capture level.</w:t>
      </w:r>
    </w:p>
    <w:p>
      <w:pPr>
        <w:pStyle w:val="ListBullet"/>
        <w:spacing w:after="60"/>
      </w:pPr>
      <w:r>
        <w:t>Global search for layer path, expert ID, prompt/token, run, and metric.</w:t>
      </w:r>
    </w:p>
    <w:p>
      <w:pPr>
        <w:pStyle w:val="ListBullet"/>
        <w:spacing w:after="60"/>
      </w:pPr>
      <w:r>
        <w:t>Persistent filter chips (layer range, task/domain, token phase, top-k rank, prompt slice).</w:t>
      </w:r>
    </w:p>
    <w:p>
      <w:pPr>
        <w:pStyle w:val="ListBullet"/>
        <w:spacing w:after="60"/>
      </w:pPr>
      <w:r>
        <w:t>Command palette for power users.</w:t>
      </w:r>
    </w:p>
    <w:p>
      <w:pPr>
        <w:pStyle w:val="ListBullet"/>
        <w:spacing w:after="60"/>
      </w:pPr>
      <w:r>
        <w:t>Dark theme first; light theme supported.</w:t>
      </w:r>
    </w:p>
    <w:p>
      <w:pPr>
        <w:pStyle w:val="Heading2"/>
        <w:keepNext/>
      </w:pPr>
      <w:r>
        <w:t>13.2 Model Explorer</w:t>
      </w:r>
    </w:p>
    <w:p>
      <w:pPr>
        <w:pStyle w:val="ListBullet"/>
        <w:spacing w:after="60"/>
      </w:pPr>
      <w:r>
        <w:t>Virtualized module tree with semantic badges: attention, dense MLP, MoE block, router, expert container, shared expert.</w:t>
      </w:r>
    </w:p>
    <w:p>
      <w:pPr>
        <w:pStyle w:val="ListBullet"/>
        <w:spacing w:after="60"/>
      </w:pPr>
      <w:r>
        <w:t>Clicking a module opens type, path, parameter count, tensor shapes, device, dtype, capture hooks, and adapter provenance.</w:t>
      </w:r>
    </w:p>
    <w:p>
      <w:pPr>
        <w:pStyle w:val="ListBullet"/>
        <w:spacing w:after="60"/>
      </w:pPr>
      <w:r>
        <w:t>Toggle “raw PyTorch tree” vs “semantic model view.”</w:t>
      </w:r>
    </w:p>
    <w:p>
      <w:pPr>
        <w:pStyle w:val="ListBullet"/>
        <w:spacing w:after="60"/>
      </w:pPr>
      <w:r>
        <w:t>Highlight ambiguous detection and allow user override; save override as an adapter snippet.</w:t>
      </w:r>
    </w:p>
    <w:p>
      <w:pPr>
        <w:pStyle w:val="Heading2"/>
        <w:keepNext/>
      </w:pPr>
      <w:r>
        <w:t>13.3 Routing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73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Visualization</w:t>
            </w:r>
          </w:p>
        </w:tc>
        <w:tc>
          <w:tcPr>
            <w:tcW w:type="dxa" w:w="640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Required interactions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Layer × Expert heatmap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Usage, normalized load, enrichment, or causal effect; zoom, sort, task filter, click expert.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Token × Layer route map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Show top-1/top-k expert IDs for each token across layers; hover token and scores.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Token × Expert heatmap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For one layer: router score/weight or selection over token positions.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Entropy line/violin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Layer-wise entropy with task/run overlay.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Load distribution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Histogram/box plot, dead experts, overloaded experts.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Co-activation graph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Expert nodes with co-route edges; threshold and community controls.</w:t>
            </w:r>
          </w:p>
        </w:tc>
      </w:tr>
      <w:tr>
        <w:tc>
          <w:tcPr>
            <w:tcW w:type="dxa" w:w="273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Route flow / Sankey</w:t>
            </w:r>
          </w:p>
        </w:tc>
        <w:tc>
          <w:tcPr>
            <w:tcW w:type="dxa" w:w="640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Optional for short prompts only; prevent unreadable graphs on long runs.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13.4 Expert detail page</w:t>
      </w:r>
    </w:p>
    <w:p>
      <w:pPr>
        <w:pStyle w:val="ListBullet"/>
        <w:spacing w:after="60"/>
      </w:pPr>
      <w:r>
        <w:t>Header: stable expert key, model/layer, parameter shapes, routed/shared status.</w:t>
      </w:r>
    </w:p>
    <w:p>
      <w:pPr>
        <w:pStyle w:val="ListBullet"/>
        <w:spacing w:after="60"/>
      </w:pPr>
      <w:r>
        <w:t>Usage: global and per-task frequency, rank distribution, token examples.</w:t>
      </w:r>
    </w:p>
    <w:p>
      <w:pPr>
        <w:pStyle w:val="ListBullet"/>
        <w:spacing w:after="60"/>
      </w:pPr>
      <w:r>
        <w:t>Routing association: enrichment/PMI and confidence intervals where applicable.</w:t>
      </w:r>
    </w:p>
    <w:p>
      <w:pPr>
        <w:pStyle w:val="ListBullet"/>
        <w:spacing w:after="60"/>
      </w:pPr>
      <w:r>
        <w:t>Activations: input/output/contribution norm distributions and most-exciting examples (if recorded).</w:t>
      </w:r>
    </w:p>
    <w:p>
      <w:pPr>
        <w:pStyle w:val="ListBullet"/>
        <w:spacing w:after="60"/>
      </w:pPr>
      <w:r>
        <w:t>Weights: projection statistics and nearest experts by selected similarity metric.</w:t>
      </w:r>
    </w:p>
    <w:p>
      <w:pPr>
        <w:pStyle w:val="ListBullet"/>
        <w:spacing w:after="60"/>
      </w:pPr>
      <w:r>
        <w:t>Causality: ablation/reroute/scaling results with effect distribution—not just mean.</w:t>
      </w:r>
    </w:p>
    <w:p>
      <w:pPr>
        <w:pStyle w:val="ListBullet"/>
        <w:spacing w:after="60"/>
      </w:pPr>
      <w:r>
        <w:t>Stability: compare across runs/datasets/model revisions.</w:t>
      </w:r>
    </w:p>
    <w:p>
      <w:pPr>
        <w:pStyle w:val="ListBullet"/>
        <w:spacing w:after="60"/>
      </w:pPr>
      <w:r>
        <w:t>Raw: module path, tensor metadata, event queries, export button.</w:t>
      </w:r>
    </w:p>
    <w:p>
      <w:pPr>
        <w:pStyle w:val="Heading2"/>
        <w:keepNext/>
      </w:pPr>
      <w:r>
        <w:t>13.5 Prompt Lab — live route view</w:t>
      </w:r>
    </w:p>
    <w:p>
      <w:pPr>
        <w:pStyle w:val="ListBullet"/>
        <w:spacing w:after="60"/>
      </w:pPr>
      <w:r>
        <w:t>Generated tokens appear in the normal text pane.</w:t>
      </w:r>
    </w:p>
    <w:p>
      <w:pPr>
        <w:pStyle w:val="ListBullet"/>
        <w:spacing w:after="60"/>
      </w:pPr>
      <w:r>
        <w:t>Under each token, a compact colored route barcode summarizes selected experts across chosen layers.</w:t>
      </w:r>
    </w:p>
    <w:p>
      <w:pPr>
        <w:pStyle w:val="ListBullet"/>
        <w:spacing w:after="60"/>
      </w:pPr>
      <w:r>
        <w:t>Selecting a token locks all charts to that token and shows router top-k scores.</w:t>
      </w:r>
    </w:p>
    <w:p>
      <w:pPr>
        <w:pStyle w:val="ListBullet"/>
        <w:spacing w:after="60"/>
      </w:pPr>
      <w:r>
        <w:t>A layer scrubber lets the user animate routing depth without rendering every layer at once.</w:t>
      </w:r>
    </w:p>
    <w:p>
      <w:pPr>
        <w:pStyle w:val="ListBullet"/>
        <w:spacing w:after="60"/>
      </w:pPr>
      <w:r>
        <w:t>“Compare prompt” mode runs two prompts and highlights where route distributions diverge.</w:t>
      </w:r>
    </w:p>
    <w:p>
      <w:pPr>
        <w:pStyle w:val="Heading2"/>
        <w:keepNext/>
      </w:pPr>
      <w:r>
        <w:t>13.6 Compare workspace</w:t>
      </w:r>
    </w:p>
    <w:p>
      <w:pPr>
        <w:pStyle w:val="ListBullet"/>
        <w:spacing w:after="60"/>
      </w:pPr>
      <w:r>
        <w:t>Side A / Side B selectors: run, model, revision, dataset, slice.</w:t>
      </w:r>
    </w:p>
    <w:p>
      <w:pPr>
        <w:pStyle w:val="ListBullet"/>
        <w:spacing w:after="60"/>
      </w:pPr>
      <w:r>
        <w:t>Difference heatmap for normalized expert usage and task enrichment.</w:t>
      </w:r>
    </w:p>
    <w:p>
      <w:pPr>
        <w:pStyle w:val="ListBullet"/>
        <w:spacing w:after="60"/>
      </w:pPr>
      <w:r>
        <w:t>Layer alignment strategy shown explicitly. Never silently compare mismatched architectures.</w:t>
      </w:r>
    </w:p>
    <w:p>
      <w:pPr>
        <w:pStyle w:val="ListBullet"/>
        <w:spacing w:after="60"/>
      </w:pPr>
      <w:r>
        <w:t>Top changed experts, entropy shifts, dead/alive transitions, and causal-effect changes.</w:t>
      </w:r>
    </w:p>
    <w:p>
      <w:pPr>
        <w:pStyle w:val="ListBullet"/>
        <w:spacing w:after="60"/>
      </w:pPr>
      <w:r>
        <w:t>Save comparison as a named analysis artifact with filters and notes.</w:t>
      </w:r>
    </w:p>
    <w:p>
      <w:pPr>
        <w:pStyle w:val="Heading2"/>
        <w:keepNext/>
      </w:pPr>
      <w:r>
        <w:t>13.7 Interventions workspace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Intervention</w:t>
            </w:r>
          </w:p>
        </w:tc>
        <w:tc>
          <w:tcPr>
            <w:tcW w:type="dxa" w:w="691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Ablate expert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Zero or bypass selected expert contribution for selected layers/tokens.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Scale contribution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Multiply contribution by factor; allow sweep.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 mask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Prevent selected experts from being chosen; use next valid routes where adapter supports it.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Force/replace route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 selected tokens to specified alternatives when safe/defined.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Router temperature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Alter score sharpness as an explicit experiment.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Top-k change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Experimental; only when architecture semantics support a coherent override.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EFF6FF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1D4ED8"/>
              <w:left w:val="single" w:sz="18" w:color="1D4ED8"/>
              <w:bottom w:val="single" w:sz="8" w:color="1D4ED8"/>
              <w:right w:val="single" w:sz="8" w:color="1D4ED8"/>
            </w:tcBorders>
          </w:tcPr>
          <w:p>
            <w:r>
              <w:rPr>
                <w:b/>
                <w:color w:val="1D4ED8"/>
                <w:sz w:val="22"/>
              </w:rPr>
              <w:t>Intervention safety</w:t>
            </w:r>
          </w:p>
          <w:p>
            <w:pPr>
              <w:spacing w:after="0"/>
            </w:pPr>
            <w:r>
              <w:t>Every intervention is a new derived run with a baseline link. The engine restores original behavior after the context exits and must never silently save modified model weights.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14. Backend / System Architecture</w:t>
      </w:r>
    </w:p>
    <w:p>
      <w:pPr>
        <w:spacing w:after="140" w:line="259" w:lineRule="auto"/>
      </w:pPr>
      <w:r>
        <w:t>Recommended implementation: Python owns model execution and analysis; a bundled React/TypeScript frontend owns visualization. The UI speaks to a local FastAPI server using HTTP for metadata/queries and WebSocket/SSE for run progress.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676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moeatlas-core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Data schemas, capability model, adapter interfaces, model fingerprints.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moeatlas-discovery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Static scanner + dry-run validation + detection scoring.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moeatlas-probe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Hook manager, probe plans, reductions, event emitters, passive fidelity checks.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moeatlas-runtime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Prompt/dataset runners, generation, batching, cancellation, interventions.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moeatlas-analysis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Metrics, task association, similarity, causal analyses, comparisons.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moeatlas-store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DuckDB metadata + Parquet/tensor artifact management + migrations.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moeatlas-server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FastAPI, streaming status, local workspace API.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moeatlas-ui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React/TypeScript application bundled as static assets.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moeatlas-adapters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Built-in model-family adapters plus third-party plugin registry.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moeatlas-cli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Headless scan/run/export/server commands.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14.1 Suggested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05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Model/runtime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PyTorch; Transformers/safetensors/Hugging Face Hub as supported loaders.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Python API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Pydantic schemas, typed adapter protocol, context-managed probes.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Server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FastAPI + Uvicorn; WebSocket or SSE for progress/streaming summaries.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Storage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DuckDB + Parquet; safetensors/NumPy-compatible artifacts for selected raw tensors.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React + TypeScript + Vite.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Charts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Apache ECharts or Plotly.js; Cytoscape.js for graphs; virtualized tables for large expert lists.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Packaging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PyPI wheel bundling the built frontend; optional Docker image.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Testing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pytest, small synthetic MoE fixtures, integration checkpoints, Playwright for UI.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15. Adapter &amp; Plugin Architecture</w:t>
      </w:r>
    </w:p>
    <w:p>
      <w:pPr>
        <w:pStyle w:val="Heading2"/>
        <w:keepNext/>
      </w:pPr>
      <w:r>
        <w:t>15.1 Why adapters are mandatory</w:t>
      </w:r>
    </w:p>
    <w:p>
      <w:pPr>
        <w:spacing w:after="140" w:line="259" w:lineRule="auto"/>
      </w:pPr>
      <w:r>
        <w:t>Model-agnostic hooks are universal at the `nn.Module` level, but MoE semantics are not. Different models pack experts differently, return different router values, use shared experts, or fuse operations. The right abstraction is a universal engine plus small semantic adapters—not model-specific forks of the product.</w:t>
      </w:r>
    </w:p>
    <w:p>
      <w:pPr>
        <w:pStyle w:val="Heading2"/>
        <w:keepNext/>
      </w:pPr>
      <w:r>
        <w:t>15.2 Adapter contract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95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 / field</w:t>
            </w:r>
          </w:p>
        </w:tc>
        <w:tc>
          <w:tcPr>
            <w:tcW w:type="dxa" w:w="619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detect(model, config) → score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Return confidence that the adapter applies.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discover(model) → manifest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Return authoritative semantic components and capabilities.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build_probe_plan(request)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Translate semantic capture request into concrete module/native-output hooks.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decode_router(payload)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Normalize logits/probs/top-k IDs/weights.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decode_expert(payload)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Normalize expert inputs/outputs/contributions.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intervention_capabilities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Declare what can be safely ablated/rerouted/scaled.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align_identity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Optional logic for comparing revisions/families.</w:t>
            </w:r>
          </w:p>
        </w:tc>
      </w:tr>
      <w:tr>
        <w:tc>
          <w:tcPr>
            <w:tcW w:type="dxa" w:w="295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compatibility_notes</w:t>
            </w:r>
          </w:p>
        </w:tc>
        <w:tc>
          <w:tcPr>
            <w:tcW w:type="dxa" w:w="619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Expose known fused/quantized/backend limitations to the UI.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15.3 Initial certification targets</w:t>
      </w:r>
    </w:p>
    <w:p>
      <w:pPr>
        <w:spacing w:after="140" w:line="259" w:lineRule="auto"/>
      </w:pPr>
      <w:r>
        <w:t>The first public release should certify a deliberately small but diverse set of model families and provide a compatibility matrix. Suggested targets include Mixtral-style MoE, Qwen MoE families, DeepSeek-V2/V3-style MoE, OLMoE, Switch-style models, and at least one recent shared-expert architecture. “Certified” means scan + routing capture + expected metrics are covered by tests; unverified models can still use auto-discovery.</w:t>
      </w:r>
    </w:p>
    <w:p>
      <w:pPr>
        <w:pStyle w:val="Heading1"/>
        <w:keepNext/>
      </w:pPr>
      <w:r>
        <w:t>16. CLI and Python API</w:t>
      </w:r>
    </w:p>
    <w:p>
      <w:pPr>
        <w:pStyle w:val="Heading2"/>
        <w:keepNext/>
      </w:pPr>
      <w:r>
        <w:t>16.1 CLI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67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547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ui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Launch local UI and workspace.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scan MODEL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Load/inspect model and print/save semantic manifest.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run MODEL --prompt ...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Run a lightweight trace headlessly.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run MODEL --dataset data.jsonl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Dataset trace with saved run.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compare RUN_A RUN_B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Compute standardized comparison metrics.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export RUN --format parquet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Export trace/metrics/repro bundle.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adapters list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List built-in and third-party adapters + capability status.</w:t>
            </w:r>
          </w:p>
        </w:tc>
      </w:tr>
      <w:tr>
        <w:tc>
          <w:tcPr>
            <w:tcW w:type="dxa" w:w="36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doctor</w:t>
            </w:r>
          </w:p>
        </w:tc>
        <w:tc>
          <w:tcPr>
            <w:tcW w:type="dxa" w:w="547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Environment, GPU, package, storage, and compatibility diagnostics.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16.2 Python API design goals</w:t>
      </w:r>
    </w:p>
    <w:p>
      <w:pPr>
        <w:pStyle w:val="ListBullet"/>
        <w:spacing w:after="60"/>
      </w:pPr>
      <w:r>
        <w:t>The Python API must work without the GUI.</w:t>
      </w:r>
    </w:p>
    <w:p>
      <w:pPr>
        <w:pStyle w:val="ListBullet"/>
        <w:spacing w:after="60"/>
      </w:pPr>
      <w:r>
        <w:t>A user can pass an existing model object rather than forcing a reload.</w:t>
      </w:r>
    </w:p>
    <w:p>
      <w:pPr>
        <w:pStyle w:val="ListBullet"/>
        <w:spacing w:after="60"/>
      </w:pPr>
      <w:r>
        <w:t>Probe plans are serializable and reusable.</w:t>
      </w:r>
    </w:p>
    <w:p>
      <w:pPr>
        <w:pStyle w:val="ListBullet"/>
        <w:spacing w:after="60"/>
      </w:pPr>
      <w:r>
        <w:t>Events/metrics are accessible as Python objects/DataFrames or queryable from the store.</w:t>
      </w:r>
    </w:p>
    <w:p>
      <w:pPr>
        <w:pStyle w:val="ListBullet"/>
        <w:spacing w:after="60"/>
      </w:pPr>
      <w:r>
        <w:t>Architecture adapters are ordinary Python packages with an entry-point registration mechanism.</w:t>
      </w:r>
    </w:p>
    <w:p>
      <w:pPr>
        <w:pStyle w:val="Heading1"/>
        <w:keepNext/>
      </w:pPr>
      <w:r>
        <w:t>17. Performance, Reliability &amp; Non-Functional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98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Requirement / target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Passive fidelity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Routing-only passive probes should not change model outputs; optional baseline equivalence check.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Memory safety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No unbounded GPU-side capture; detach/reduce/stream by default. Full activations require explicit budgets.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Scalability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UI queries use pre-aggregation/columnar scans so large runs do not render millions of raw events directly.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Run durability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Incremental writes; completed shards remain valid after cancellation/crash where possible.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Responsiveness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UI should remain interactive while a run is executing; long analytics run server-side.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Overhead reporting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Measure and display instrumentation overhead per capture level instead of promising zero overhead.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Determinism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Record seeds/settings; clearly mark nondeterministic kernels/backends.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Portability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Workspace paths should be relocatable; no absolute-path requirement in exported bundles.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17.1 Benchmark targets for the project itself</w:t>
      </w:r>
    </w:p>
    <w:p>
      <w:pPr>
        <w:pStyle w:val="ListBullet"/>
        <w:spacing w:after="60"/>
      </w:pPr>
      <w:r>
        <w:t>Maintain a benchmark suite that measures baseline vs routing-only vs expert-stats vs full-activation overhead.</w:t>
      </w:r>
    </w:p>
    <w:p>
      <w:pPr>
        <w:pStyle w:val="ListBullet"/>
        <w:spacing w:after="60"/>
      </w:pPr>
      <w:r>
        <w:t>Report event throughput and storage growth per million token-layer routing events.</w:t>
      </w:r>
    </w:p>
    <w:p>
      <w:pPr>
        <w:pStyle w:val="ListBullet"/>
        <w:spacing w:after="60"/>
      </w:pPr>
      <w:r>
        <w:t>Benchmark UI query latency against representative 1M, 10M, and 100M-event traces.</w:t>
      </w:r>
    </w:p>
    <w:p>
      <w:pPr>
        <w:pStyle w:val="ListBullet"/>
        <w:spacing w:after="60"/>
      </w:pPr>
      <w:r>
        <w:t>Publish benchmark hardware/software versions with releases.</w:t>
      </w:r>
    </w:p>
    <w:p>
      <w:pPr>
        <w:pStyle w:val="Heading1"/>
        <w:keepNext/>
      </w:pPr>
      <w:r>
        <w:t>18. Privacy, Security &amp; Trust</w:t>
      </w:r>
    </w:p>
    <w:p>
      <w:pPr>
        <w:pStyle w:val="ListBullet"/>
        <w:spacing w:after="60"/>
      </w:pPr>
      <w:r>
        <w:t>Local-first execution and storage; no telemetry by default.</w:t>
      </w:r>
    </w:p>
    <w:p>
      <w:pPr>
        <w:pStyle w:val="ListBullet"/>
        <w:spacing w:after="60"/>
      </w:pPr>
      <w:r>
        <w:t>Prompts/datasets may contain sensitive data. Provide per-workspace retention controls and “store token text” toggle.</w:t>
      </w:r>
    </w:p>
    <w:p>
      <w:pPr>
        <w:pStyle w:val="ListBullet"/>
        <w:spacing w:after="60"/>
      </w:pPr>
      <w:r>
        <w:t>Never serialize authentication tokens into run manifests.</w:t>
      </w:r>
    </w:p>
    <w:p>
      <w:pPr>
        <w:pStyle w:val="ListBullet"/>
        <w:spacing w:after="60"/>
      </w:pPr>
      <w:r>
        <w:t>Remote-code loading is an explicit security boundary; warn before enabling `trust_remote_code`.</w:t>
      </w:r>
    </w:p>
    <w:p>
      <w:pPr>
        <w:pStyle w:val="ListBullet"/>
        <w:spacing w:after="60"/>
      </w:pPr>
      <w:r>
        <w:t>Model files are referenced/loaded under their own licenses; the project must not imply that Apache-2.0 re-licenses checkpoints.</w:t>
      </w:r>
    </w:p>
    <w:p>
      <w:pPr>
        <w:pStyle w:val="ListBullet"/>
        <w:spacing w:after="60"/>
      </w:pPr>
      <w:r>
        <w:t>Export bundles support optional prompt/token redaction while retaining aggregate metrics.</w:t>
      </w:r>
    </w:p>
    <w:p>
      <w:pPr>
        <w:pStyle w:val="ListBullet"/>
        <w:spacing w:after="60"/>
      </w:pPr>
      <w:r>
        <w:t>Plugin loading should show package/source/version and allow plugins to be disabled.</w:t>
      </w:r>
    </w:p>
    <w:p>
      <w:pPr>
        <w:pStyle w:val="Heading1"/>
        <w:keepNext/>
      </w:pPr>
      <w:r>
        <w:t>19. Open-Source Launch Requirements</w:t>
      </w:r>
    </w:p>
    <w:p>
      <w:pPr>
        <w:pStyle w:val="Heading2"/>
        <w:keepNext/>
      </w:pPr>
      <w:r>
        <w:t>19.1 Repository quality bar</w:t>
      </w:r>
    </w:p>
    <w:p>
      <w:pPr>
        <w:pStyle w:val="ListBullet"/>
        <w:spacing w:after="60"/>
      </w:pPr>
      <w:r>
        <w:t>Apache-2.0 LICENSE, NOTICE if required, clear third-party license inventory.</w:t>
      </w:r>
    </w:p>
    <w:p>
      <w:pPr>
        <w:pStyle w:val="ListBullet"/>
        <w:spacing w:after="60"/>
      </w:pPr>
      <w:r>
        <w:t>README with 5-minute quick start, screenshots/GIF, supported models, and explicit limitations.</w:t>
      </w:r>
    </w:p>
    <w:p>
      <w:pPr>
        <w:pStyle w:val="ListBullet"/>
        <w:spacing w:after="60"/>
      </w:pPr>
      <w:r>
        <w:t>Architecture documentation and adapter-authoring guide.</w:t>
      </w:r>
    </w:p>
    <w:p>
      <w:pPr>
        <w:pStyle w:val="ListBullet"/>
        <w:spacing w:after="60"/>
      </w:pPr>
      <w:r>
        <w:t>CONTRIBUTING.md, CODE_OF_CONDUCT.md, SECURITY.md, issue/PR templates.</w:t>
      </w:r>
    </w:p>
    <w:p>
      <w:pPr>
        <w:pStyle w:val="ListBullet"/>
        <w:spacing w:after="60"/>
      </w:pPr>
      <w:r>
        <w:t>Semantic versioning and changelog.</w:t>
      </w:r>
    </w:p>
    <w:p>
      <w:pPr>
        <w:pStyle w:val="ListBullet"/>
        <w:spacing w:after="60"/>
      </w:pPr>
      <w:r>
        <w:t>CPU-only synthetic tests in normal CI; GPU integration tests as optional/nightly jobs.</w:t>
      </w:r>
    </w:p>
    <w:p>
      <w:pPr>
        <w:pStyle w:val="ListBullet"/>
        <w:spacing w:after="60"/>
      </w:pPr>
      <w:r>
        <w:t>Compatibility matrix generated from tested adapter fixtures.</w:t>
      </w:r>
    </w:p>
    <w:p>
      <w:pPr>
        <w:pStyle w:val="ListBullet"/>
        <w:spacing w:after="60"/>
      </w:pPr>
      <w:r>
        <w:t>Example workspaces/traces that do not require downloading a huge model.</w:t>
      </w:r>
    </w:p>
    <w:p>
      <w:pPr>
        <w:pStyle w:val="Heading2"/>
        <w:keepNext/>
      </w:pPr>
      <w:r>
        <w:t>19.2 Installation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1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712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Expectation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pip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`pip install MOE-Atlass` then `moeatlas ui`.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Developer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Editable install plus UI dev server with one documented command.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Docker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Optional CUDA-capable image for reproducible setup; model cache mounted externally.</w:t>
            </w:r>
          </w:p>
        </w:tc>
      </w:tr>
      <w:tr>
        <w:tc>
          <w:tcPr>
            <w:tcW w:type="dxa" w:w="201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No-GUI/headless</w:t>
            </w:r>
          </w:p>
        </w:tc>
        <w:tc>
          <w:tcPr>
            <w:tcW w:type="dxa" w:w="712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Core package and CLI must run in servers/notebooks without browser launch.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19.3 Documentation</w:t>
      </w:r>
    </w:p>
    <w:p>
      <w:pPr>
        <w:pStyle w:val="ListBullet"/>
        <w:spacing w:after="60"/>
      </w:pPr>
      <w:r>
        <w:t>Concepts: routers, experts, shared experts, top-k, routing vs specialization.</w:t>
      </w:r>
    </w:p>
    <w:p>
      <w:pPr>
        <w:pStyle w:val="ListBullet"/>
        <w:spacing w:after="60"/>
      </w:pPr>
      <w:r>
        <w:t>Tutorial: inspect a small real MoE.</w:t>
      </w:r>
    </w:p>
    <w:p>
      <w:pPr>
        <w:pStyle w:val="ListBullet"/>
        <w:spacing w:after="60"/>
      </w:pPr>
      <w:r>
        <w:t>Tutorial: compare code vs general prompts without overclaiming specialization.</w:t>
      </w:r>
    </w:p>
    <w:p>
      <w:pPr>
        <w:pStyle w:val="ListBullet"/>
        <w:spacing w:after="60"/>
      </w:pPr>
      <w:r>
        <w:t>Tutorial: perform an ablation and interpret the effect.</w:t>
      </w:r>
    </w:p>
    <w:p>
      <w:pPr>
        <w:pStyle w:val="ListBullet"/>
        <w:spacing w:after="60"/>
      </w:pPr>
      <w:r>
        <w:t>How-to: write an adapter for a custom architecture.</w:t>
      </w:r>
    </w:p>
    <w:p>
      <w:pPr>
        <w:pStyle w:val="ListBullet"/>
        <w:spacing w:after="60"/>
      </w:pPr>
      <w:r>
        <w:t>Reference: trace schema, CLI, Python API, metrics formulas.</w:t>
      </w:r>
    </w:p>
    <w:p>
      <w:pPr>
        <w:pStyle w:val="ListBullet"/>
        <w:spacing w:after="60"/>
      </w:pPr>
      <w:r>
        <w:t>Troubleshooting: quantization, device maps, OOM, fused kernels, remote code, unsupported model output.</w:t>
      </w:r>
    </w:p>
    <w:p>
      <w:pPr>
        <w:pStyle w:val="Heading1"/>
        <w:keepNext/>
      </w:pPr>
      <w:r>
        <w:t>20. Acceptance Criteria for v1.0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08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705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v1.0 acceptance criterion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Model onboarding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 user can load a certified HF/local MoE model and receive a semantic scan without editing model code.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Routing correctness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For certified models, captured top-k/routing data matches native model outputs or a golden reference on tests.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UI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User can move from overview heatmap → layer → expert → token examples → raw routing data.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Dataset scale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 dataset run writes incrementally and can be reopened after application restart.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Comparison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Two compatible runs can be compared with normalized utilization, entropy, task association, and changed-expert views.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Causality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At least expert ablation and scaling are supported on certified architectures where semantics permit, with linked baseline/result runs.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Export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Run can export metrics + routing events + manifest to open formats.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Plugins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 third-party adapter can be discovered without patching core source.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Trust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Passive hook test confirms no output change within tolerance on certified test fixtures.</w:t>
            </w:r>
          </w:p>
        </w:tc>
      </w:tr>
      <w:tr>
        <w:tc>
          <w:tcPr>
            <w:tcW w:type="dxa" w:w="208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Docs</w:t>
            </w:r>
          </w:p>
        </w:tc>
        <w:tc>
          <w:tcPr>
            <w:tcW w:type="dxa" w:w="705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 new contributor can add an adapter using documented interface + test fixture.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21.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6768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Phase 0 — Probe core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Scanner, manifests, hook manager, event schema, synthetic MoE fixture, CLI scan.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Phase 1 — Useful alpha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HF/local loading, Qwen/Mixtral-class adapters, Prompt Lab, routing capture, Layer×Expert and Token×Layer heatmaps, Parquet/DuckDB storage.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Phase 2 — Research beta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Dataset runner, task association, Expert Evidence Card, cross-run compare, shared experts, profiler links, export bundles.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Phase 3 — Causal beta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Ablation/scaling/reroute where supported, gradients, counterfactual experiments, intervention UI.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Phase 4 — v1.0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Certified compatibility matrix, plugin SDK, robust packaging, docs, CI, performance benchmarks, stable schemas.</w:t>
            </w:r>
          </w:p>
        </w:tc>
      </w:tr>
      <w:tr>
        <w:tc>
          <w:tcPr>
            <w:tcW w:type="dxa" w:w="2376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Post-1.0</w:t>
            </w:r>
          </w:p>
        </w:tc>
        <w:tc>
          <w:tcPr>
            <w:tcW w:type="dxa" w:w="67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vLLM/llama.cpp backend plugins, multimodal tower views, distributed/remote agents, richer weight-space analysis, report generation API.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22. Suggested Repository Structure</w:t>
      </w:r>
    </w:p>
    <w:p>
      <w:r>
        <w:rPr>
          <w:rFonts w:ascii="Consolas" w:hAnsi="Consolas"/>
          <w:sz w:val="17"/>
        </w:rPr>
        <w:t>MOE-Atlass/</w:t>
        <w:br/>
        <w:t>├── packages/</w:t>
        <w:br/>
        <w:t>│   ├── moeatlas-core/</w:t>
        <w:br/>
        <w:t>│   ├── moeatlas-discovery/</w:t>
        <w:br/>
        <w:t>│   ├── moeatlas-probe/</w:t>
        <w:br/>
        <w:t>│   ├── moeatlas-analysis/</w:t>
        <w:br/>
        <w:t>│   ├── moeatlas-store/</w:t>
        <w:br/>
        <w:t>│   ├── moeatlas-server/</w:t>
        <w:br/>
        <w:t>│   └── moeatlas-adapters/</w:t>
        <w:br/>
        <w:t>├── ui/</w:t>
        <w:br/>
        <w:t>│   ├── src/pages/</w:t>
        <w:br/>
        <w:t>│   ├── src/components/</w:t>
        <w:br/>
        <w:t>│   ├── src/charts/</w:t>
        <w:br/>
        <w:t>│   └── src/api/</w:t>
        <w:br/>
        <w:t>├── tests/</w:t>
        <w:br/>
        <w:t>│   ├── fixtures/synthetic_moe/</w:t>
        <w:br/>
        <w:t>│   ├── adapters/</w:t>
        <w:br/>
        <w:t>│   └── golden/</w:t>
        <w:br/>
        <w:t>├── examples/</w:t>
        <w:br/>
        <w:t>├── docs/</w:t>
        <w:br/>
        <w:t>├── benchmarks/</w:t>
        <w:br/>
        <w:t>└── pyproject.toml</w:t>
      </w:r>
    </w:p>
    <w:p>
      <w:pPr>
        <w:pStyle w:val="Heading1"/>
        <w:keepNext/>
      </w:pPr>
      <w:r>
        <w:t>23. Product Risks &amp; Mitigations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662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Mitigation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“Universal” overclaim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Define universality as PyTorch-level discovery + extensible semantic adapters. Show capability tier per model.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Fused kernels hide router internals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Use native outputs when available; adapter-specific interception; backend plugins; analysis/eager mode.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Trace data explodes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Probe levels, reductions, sampling, quotas, Parquet streaming, no default full activations.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Heatmaps imply false specialization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Evidence Card, causal tests, task enrichment vs baseline, strong UI wording.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Architecture churn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Adapter registry, confidence-scored discovery, certification tests, community adapters.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Hooks change behavior/performance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Passive fidelity tests, context cleanup, overhead measurement, minimal capture defaults.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UI becomes too complex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Progressive disclosure, saved views, sensible defaults, raw mode only on drill-down.</w:t>
            </w:r>
          </w:p>
        </w:tc>
      </w:tr>
      <w:tr>
        <w:tc>
          <w:tcPr>
            <w:tcW w:type="dxa" w:w="252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Open-source maintenance burden</w:t>
            </w:r>
          </w:p>
        </w:tc>
        <w:tc>
          <w:tcPr>
            <w:tcW w:type="dxa" w:w="662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7"/>
              </w:rPr>
              <w:t>Small stable core, adapter ownership metadata, generated compatibility matrix, contribution templates.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24. Launch Story</w:t>
      </w:r>
    </w:p>
    <w:p>
      <w:pPr>
        <w:spacing w:after="140" w:line="259" w:lineRule="auto"/>
      </w:pPr>
      <w:r>
        <w:t>The launch should be framed around a simple problem: “Modern MoE models expose hundreds of experts, but understanding what routes where—and whether those experts actually matter—still requires custom notebooks and architecture-specific code.” MoEAtlas makes the workflow inspectable and reproducible.</w:t>
      </w:r>
    </w:p>
    <w:p>
      <w:pPr>
        <w:pStyle w:val="Heading2"/>
        <w:keepNext/>
      </w:pPr>
      <w:r>
        <w:t>24.1 Demo sequence</w:t>
      </w:r>
    </w:p>
    <w:p>
      <w:pPr>
        <w:pStyle w:val="ListNumber"/>
        <w:spacing w:after="80"/>
      </w:pPr>
      <w:r>
        <w:t>Open a supported MoE model and show the semantic scan.</w:t>
      </w:r>
    </w:p>
    <w:p>
      <w:pPr>
        <w:pStyle w:val="ListNumber"/>
        <w:spacing w:after="80"/>
      </w:pPr>
      <w:r>
        <w:t>Run two prompt sets (for example code vs general text) and watch routing heatmaps populate.</w:t>
      </w:r>
    </w:p>
    <w:p>
      <w:pPr>
        <w:pStyle w:val="ListNumber"/>
        <w:spacing w:after="80"/>
      </w:pPr>
      <w:r>
        <w:t>Open an expert that looks enriched for one task and show the Evidence Card.</w:t>
      </w:r>
    </w:p>
    <w:p>
      <w:pPr>
        <w:pStyle w:val="ListNumber"/>
        <w:spacing w:after="80"/>
      </w:pPr>
      <w:r>
        <w:t>Run an ablation on that expert and show whether the claimed association has causal impact.</w:t>
      </w:r>
    </w:p>
    <w:p>
      <w:pPr>
        <w:pStyle w:val="ListNumber"/>
        <w:spacing w:after="80"/>
      </w:pPr>
      <w:r>
        <w:t>Compare the two runs/model revisions and export the result as Parquet + a reproducibility manifest.</w:t>
      </w:r>
    </w:p>
    <w:p>
      <w:pPr>
        <w:pStyle w:val="Heading2"/>
        <w:keepNext/>
      </w:pPr>
      <w:r>
        <w:t>24.2 README hero copy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144"/>
            <w:shd w:fill="F8FAFC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8" w:color="334155"/>
              <w:left w:val="single" w:sz="18" w:color="334155"/>
              <w:bottom w:val="single" w:sz="8" w:color="334155"/>
              <w:right w:val="single" w:sz="8" w:color="334155"/>
            </w:tcBorders>
          </w:tcPr>
          <w:p>
            <w:r>
              <w:rPr>
                <w:b/>
                <w:color w:val="334155"/>
                <w:sz w:val="22"/>
              </w:rPr>
              <w:t>Suggested positioning</w:t>
            </w:r>
          </w:p>
          <w:p>
            <w:pPr>
              <w:spacing w:after="0"/>
            </w:pPr>
            <w:r>
              <w:t>MoEAtlas is an open-source visual profiler for Mixture-of-Experts models. Load a PyTorch/Hugging Face MoE, discover routers and experts automatically, trace token routing, measure expert behavior, compare datasets and model revisions, run causal interventions, and export reproducible traces—all locally.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25. Decisions to Lock Before Coding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8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626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Recommended default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MoEAtlas / `moeatlas`.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UI architecture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Local browser GUI served by FastAPI; React/TypeScript frontend.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Core probing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Native PyTorch hooks/outputs; no NNsight or TransformerLens dependency.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 loading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Transformers/safetensors first; custom PyTorch loader API.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Storage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DuckDB metadata/analytics + Parquet event traces.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Architecture support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Auto-discovery + adapters; publish certified compatibility matrix.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Specialization semantics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Evidence tiers; causal claims separated from routing association.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License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Apache-2.0 target.</w:t>
            </w:r>
          </w:p>
        </w:tc>
      </w:tr>
      <w:tr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v1 boundary</w:t>
            </w:r>
          </w:p>
        </w:tc>
        <w:tc>
          <w:tcPr>
            <w:tcW w:type="dxa" w:w="626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Observe/compare/intervene/export. No expert transplantation/merging.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26. Research / Source Notes</w:t>
      </w:r>
    </w:p>
    <w:p>
      <w:pPr>
        <w:spacing w:after="140" w:line="259" w:lineRule="auto"/>
      </w:pPr>
      <w:r>
        <w:t>This PRD uses the following primary/documented sources to define the competitive baseline and technical assumptions. Accessed 17 Aug 2026. These sources describe capabilities; absence from documentation is treated as “not a primary documented focus,” not proof that a feature is impossible.</w:t>
      </w:r>
    </w:p>
    <w:p>
      <w:pPr>
        <w:spacing w:after="80"/>
      </w:pPr>
      <w:r>
        <w:rPr>
          <w:b/>
        </w:rPr>
        <w:t xml:space="preserve">[1] PyTorch `torch.nn.Module` hooks and parameter/module introspection. </w:t>
      </w:r>
      <w:hyperlink r:id="rId13">
        <w:r>
          <w:rPr>
            <w:color w:val="2563EB"/>
            <w:u w:val="single"/>
          </w:rPr>
          <w:t>https://docs.pytorch.org/docs/stable/generated/torch.nn.Module.html</w:t>
        </w:r>
      </w:hyperlink>
    </w:p>
    <w:p>
      <w:pPr>
        <w:spacing w:after="80"/>
      </w:pPr>
      <w:r>
        <w:rPr>
          <w:b/>
        </w:rPr>
        <w:t xml:space="preserve">[2] PyTorch Profiler. </w:t>
      </w:r>
      <w:hyperlink r:id="rId14">
        <w:r>
          <w:rPr>
            <w:color w:val="2563EB"/>
            <w:u w:val="single"/>
          </w:rPr>
          <w:t>https://docs.pytorch.org/docs/main/profiler</w:t>
        </w:r>
      </w:hyperlink>
    </w:p>
    <w:p>
      <w:pPr>
        <w:spacing w:after="80"/>
      </w:pPr>
      <w:r>
        <w:rPr>
          <w:b/>
        </w:rPr>
        <w:t xml:space="preserve">[3] Hugging Face Transformers ExpertsInterface. </w:t>
      </w:r>
      <w:hyperlink r:id="rId15">
        <w:r>
          <w:rPr>
            <w:color w:val="2563EB"/>
            <w:u w:val="single"/>
          </w:rPr>
          <w:t>https://huggingface.co/docs/transformers/experts_interface</w:t>
        </w:r>
      </w:hyperlink>
    </w:p>
    <w:p>
      <w:pPr>
        <w:spacing w:after="80"/>
      </w:pPr>
      <w:r>
        <w:rPr>
          <w:b/>
        </w:rPr>
        <w:t xml:space="preserve">[4] Hugging Face Qwen3.5 MoE router-logit output documentation. </w:t>
      </w:r>
      <w:hyperlink r:id="rId16">
        <w:r>
          <w:rPr>
            <w:color w:val="2563EB"/>
            <w:u w:val="single"/>
          </w:rPr>
          <w:t>https://huggingface.co/docs/transformers/main/model_doc/qwen3_5_moe</w:t>
        </w:r>
      </w:hyperlink>
    </w:p>
    <w:p>
      <w:pPr>
        <w:spacing w:after="80"/>
      </w:pPr>
      <w:r>
        <w:rPr>
          <w:b/>
        </w:rPr>
        <w:t xml:space="preserve">[5] NNsight feature overview and cache/tracing documentation. </w:t>
      </w:r>
      <w:hyperlink r:id="rId17">
        <w:r>
          <w:rPr>
            <w:color w:val="2563EB"/>
            <w:u w:val="single"/>
          </w:rPr>
          <w:t>https://nnsight.net/features/</w:t>
        </w:r>
      </w:hyperlink>
    </w:p>
    <w:p>
      <w:pPr>
        <w:spacing w:after="80"/>
      </w:pPr>
      <w:r>
        <w:rPr>
          <w:b/>
        </w:rPr>
        <w:t xml:space="preserve">[6] TransformerLens 3 / TransformerBridge migration and model structure. </w:t>
      </w:r>
      <w:hyperlink r:id="rId18">
        <w:r>
          <w:rPr>
            <w:color w:val="2563EB"/>
            <w:u w:val="single"/>
          </w:rPr>
          <w:t>https://transformerlensorg.github.io/TransformerLens/content/migrating_to_v3.html</w:t>
        </w:r>
      </w:hyperlink>
    </w:p>
    <w:p>
      <w:pPr>
        <w:spacing w:after="80"/>
      </w:pPr>
      <w:r>
        <w:rPr>
          <w:b/>
        </w:rPr>
        <w:t xml:space="preserve">[7] NVIDIA NeMo AutoModel MoE load-balance metrics. </w:t>
      </w:r>
      <w:hyperlink r:id="rId19">
        <w:r>
          <w:rPr>
            <w:color w:val="2563EB"/>
            <w:u w:val="single"/>
          </w:rPr>
          <w:t>https://docs.nvidia.com/nemo/automodel/latest/nemo-automodel/nemo_automodel/components/moe/load_balance_metrics</w:t>
        </w:r>
      </w:hyperlink>
    </w:p>
    <w:p>
      <w:pPr>
        <w:spacing w:after="80"/>
      </w:pPr>
      <w:r>
        <w:rPr>
          <w:b/>
        </w:rPr>
        <w:t xml:space="preserve">[8] LibMoE repository / framework overview. </w:t>
      </w:r>
      <w:hyperlink r:id="rId20">
        <w:r>
          <w:rPr>
            <w:color w:val="2563EB"/>
            <w:u w:val="single"/>
          </w:rPr>
          <w:t>https://github.com/Fsoft-AIC/LibMoE</w:t>
        </w:r>
      </w:hyperlink>
    </w:p>
    <w:p>
      <w:pPr>
        <w:spacing w:after="80"/>
      </w:pPr>
      <w:r>
        <w:rPr>
          <w:b/>
        </w:rPr>
        <w:t xml:space="preserve">[9] MixtureKit paper. </w:t>
      </w:r>
      <w:hyperlink r:id="rId21">
        <w:r>
          <w:rPr>
            <w:color w:val="2563EB"/>
            <w:u w:val="single"/>
          </w:rPr>
          <w:t>https://arxiv.org/abs/2512.12121</w:t>
        </w:r>
      </w:hyperlink>
    </w:p>
    <w:p>
      <w:pPr>
        <w:spacing w:after="80"/>
      </w:pPr>
      <w:r>
        <w:rPr>
          <w:b/>
        </w:rPr>
        <w:t xml:space="preserve">[10] MoE Visualizer repository. </w:t>
      </w:r>
      <w:hyperlink r:id="rId22">
        <w:r>
          <w:rPr>
            <w:color w:val="2563EB"/>
            <w:u w:val="single"/>
          </w:rPr>
          <w:t>https://github.com/nsusanto/MoE-Visualizer</w:t>
        </w:r>
      </w:hyperlink>
    </w:p>
    <w:p>
      <w:pPr>
        <w:spacing w:after="80"/>
      </w:pPr>
      <w:r>
        <w:rPr>
          <w:b/>
        </w:rPr>
        <w:t xml:space="preserve">[11] Martin Alderson’s MoE expert-routing visualizer write-up. </w:t>
      </w:r>
      <w:hyperlink r:id="rId23">
        <w:r>
          <w:rPr>
            <w:color w:val="2563EB"/>
            <w:u w:val="single"/>
          </w:rPr>
          <w:t>https://martinalderson.com/posts/moe-expert-routing-visualization/</w:t>
        </w:r>
      </w:hyperlink>
    </w:p>
    <w:p>
      <w:pPr>
        <w:spacing w:after="80"/>
      </w:pPr>
      <w:r>
        <w:rPr>
          <w:b/>
        </w:rPr>
        <w:t xml:space="preserve">[12] The Myth of Expert Specialization in MoEs. </w:t>
      </w:r>
      <w:hyperlink r:id="rId24">
        <w:r>
          <w:rPr>
            <w:color w:val="2563EB"/>
            <w:u w:val="single"/>
          </w:rPr>
          <w:t>https://arxiv.org/abs/2604.09780</w:t>
        </w:r>
      </w:hyperlink>
    </w:p>
    <w:p>
      <w:pPr>
        <w:spacing w:after="80"/>
      </w:pPr>
      <w:r>
        <w:rPr>
          <w:b/>
        </w:rPr>
        <w:t xml:space="preserve">[13] When Are Experts Misrouted? Counterfactual Routing Analysis in MoE Language Models. </w:t>
      </w:r>
      <w:hyperlink r:id="rId25">
        <w:r>
          <w:rPr>
            <w:color w:val="2563EB"/>
            <w:u w:val="single"/>
          </w:rPr>
          <w:t>https://arxiv.org/abs/2605.07260</w:t>
        </w:r>
      </w:hyperlink>
    </w:p>
    <w:p>
      <w:pPr>
        <w:spacing w:after="80"/>
      </w:pPr>
      <w:r>
        <w:rPr>
          <w:b/>
        </w:rPr>
        <w:t xml:space="preserve">[14] MoE Routing Testbed: Studying Expert Specialization and Routing Behavior at Small Scale. </w:t>
      </w:r>
      <w:hyperlink r:id="rId26">
        <w:r>
          <w:rPr>
            <w:color w:val="2563EB"/>
            <w:u w:val="single"/>
          </w:rPr>
          <w:t>https://arxiv.org/abs/2604.07030</w:t>
        </w:r>
      </w:hyperlink>
    </w:p>
    <w:p>
      <w:pPr>
        <w:pStyle w:val="Heading1"/>
        <w:keepNext/>
      </w:pPr>
      <w:r>
        <w:t>Appendix A — Example “Expert Evidence Card” Fields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3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6912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Fields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Model fingerprint, layer, expert ID, routed/shared, parameter shapes.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Routing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Usage %, normalized load, mean rank, margin, entropy slice.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Task association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Enrichment, PMI/MI, number of examples, confidence/uncertainty.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Behavior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Input/output/contribution norms, representative tokens/prompts, representation stats.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Causality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Δloss, Δtarget probability, Δbenchmark, effect distribution, intervention recipe.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Stability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Across prompt perturbations, datasets, seeds, model revisions.</w:t>
            </w:r>
          </w:p>
        </w:tc>
      </w:tr>
      <w:tr>
        <w:tc>
          <w:tcPr>
            <w:tcW w:type="dxa" w:w="223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Provenance</w:t>
            </w:r>
          </w:p>
        </w:tc>
        <w:tc>
          <w:tcPr>
            <w:tcW w:type="dxa" w:w="6912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Probe version, adapter, capture source (native/hook/fused decoder), warnings.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Appendix B — Example Capability Labels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Label</w:t>
            </w:r>
          </w:p>
        </w:tc>
        <w:tc>
          <w:tcPr>
            <w:tcW w:type="dxa" w:w="6984"/>
            <w:shd w:fill="0F172A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FULL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Router scores/top-k + expert activity + supported interventions captured with validated semantics.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ROUTING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Reliable router/top-k capture; expert internals may be packed/fused.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MODULE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Only module-level inputs/outputs are visible without an adapter.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STRUCTURE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Static model/weight structure only.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EXPERIMENTAL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Capture works but is not certified against a golden reference.</w:t>
            </w:r>
          </w:p>
        </w:tc>
      </w:tr>
      <w:tr>
        <w:tc>
          <w:tcPr>
            <w:tcW w:type="dxa" w:w="216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UNSUPPORTED</w:t>
            </w:r>
          </w:p>
        </w:tc>
        <w:tc>
          <w:tcPr>
            <w:tcW w:type="dxa" w:w="698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8FAFC"/>
            <w:tcBorders>
              <w:bottom w:val="single" w:sz="4" w:color="E5E7EB"/>
            </w:tcBorders>
          </w:tcPr>
          <w:p>
            <w:pPr>
              <w:spacing w:after="0"/>
            </w:pPr>
            <w:r>
              <w:rPr>
                <w:sz w:val="18"/>
              </w:rPr>
              <w:t>Required data cannot currently be observed on the selected backend.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Open-source product specification  |  Research snapshot: 17 Aug 2026  |  Page </w:t>
    </w: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1" w:color="E2E8F0"/>
      </w:pBdr>
    </w:pPr>
    <w:r>
      <w:rPr>
        <w:color w:val="64748B"/>
        <w:sz w:val="17"/>
      </w:rPr>
      <w:t>MoEAtlas  •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749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docs.pytorch.org/docs/stable/generated/torch.nn.Module.html" TargetMode="External"/><Relationship Id="rId14" Type="http://schemas.openxmlformats.org/officeDocument/2006/relationships/hyperlink" Target="https://docs.pytorch.org/docs/main/profiler" TargetMode="External"/><Relationship Id="rId15" Type="http://schemas.openxmlformats.org/officeDocument/2006/relationships/hyperlink" Target="https://huggingface.co/docs/transformers/experts_interface" TargetMode="External"/><Relationship Id="rId16" Type="http://schemas.openxmlformats.org/officeDocument/2006/relationships/hyperlink" Target="https://huggingface.co/docs/transformers/main/model_doc/qwen3_5_moe" TargetMode="External"/><Relationship Id="rId17" Type="http://schemas.openxmlformats.org/officeDocument/2006/relationships/hyperlink" Target="https://nnsight.net/features/" TargetMode="External"/><Relationship Id="rId18" Type="http://schemas.openxmlformats.org/officeDocument/2006/relationships/hyperlink" Target="https://transformerlensorg.github.io/TransformerLens/content/migrating_to_v3.html" TargetMode="External"/><Relationship Id="rId19" Type="http://schemas.openxmlformats.org/officeDocument/2006/relationships/hyperlink" Target="https://docs.nvidia.com/nemo/automodel/latest/nemo-automodel/nemo_automodel/components/moe/load_balance_metrics" TargetMode="External"/><Relationship Id="rId20" Type="http://schemas.openxmlformats.org/officeDocument/2006/relationships/hyperlink" Target="https://github.com/Fsoft-AIC/LibMoE" TargetMode="External"/><Relationship Id="rId21" Type="http://schemas.openxmlformats.org/officeDocument/2006/relationships/hyperlink" Target="https://arxiv.org/abs/2512.12121" TargetMode="External"/><Relationship Id="rId22" Type="http://schemas.openxmlformats.org/officeDocument/2006/relationships/hyperlink" Target="https://github.com/nsusanto/MoE-Visualizer" TargetMode="External"/><Relationship Id="rId23" Type="http://schemas.openxmlformats.org/officeDocument/2006/relationships/hyperlink" Target="https://martinalderson.com/posts/moe-expert-routing-visualization/" TargetMode="External"/><Relationship Id="rId24" Type="http://schemas.openxmlformats.org/officeDocument/2006/relationships/hyperlink" Target="https://arxiv.org/abs/2604.09780" TargetMode="External"/><Relationship Id="rId25" Type="http://schemas.openxmlformats.org/officeDocument/2006/relationships/hyperlink" Target="https://arxiv.org/abs/2605.07260" TargetMode="External"/><Relationship Id="rId26" Type="http://schemas.openxmlformats.org/officeDocument/2006/relationships/hyperlink" Target="https://arxiv.org/abs/2604.070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