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28"/>
        </w:rPr>
        <w:t>RIVERBEND HEALTH SYSTEM</w:t>
      </w:r>
    </w:p>
    <w:p>
      <w:pPr>
        <w:jc w:val="center"/>
      </w:pPr>
      <w:r>
        <w:rPr>
          <w:b/>
          <w:sz w:val="26"/>
        </w:rPr>
        <w:t>POLICY: Patient Symptom Triage and Nurse Advice</w:t>
      </w:r>
    </w:p>
    <w:tbl>
      <w:tblPr>
        <w:tblStyle w:val="TableGrid"/>
        <w:tblW w:type="auto" w:w="0"/>
        <w:tblLook w:firstColumn="1" w:firstRow="1" w:lastColumn="0" w:lastRow="0" w:noHBand="0" w:noVBand="1" w:val="04A0"/>
      </w:tblPr>
      <w:tblGrid>
        <w:gridCol w:w="4320"/>
        <w:gridCol w:w="4320"/>
      </w:tblGrid>
      <w:tr>
        <w:tc>
          <w:tcPr>
            <w:tcW w:type="dxa" w:w="4320"/>
          </w:tcPr>
          <w:p>
            <w:r>
              <w:rPr>
                <w:b/>
              </w:rPr>
              <w:t>Policy Number</w:t>
            </w:r>
          </w:p>
        </w:tc>
        <w:tc>
          <w:tcPr>
            <w:tcW w:type="dxa" w:w="4320"/>
          </w:tcPr>
          <w:p>
            <w:r>
              <w:t>CLN-120</w:t>
            </w:r>
          </w:p>
        </w:tc>
      </w:tr>
      <w:tr>
        <w:tc>
          <w:tcPr>
            <w:tcW w:type="dxa" w:w="4320"/>
          </w:tcPr>
          <w:p>
            <w:r>
              <w:rPr>
                <w:b/>
              </w:rPr>
              <w:t>Department</w:t>
            </w:r>
          </w:p>
        </w:tc>
        <w:tc>
          <w:tcPr>
            <w:tcW w:type="dxa" w:w="4320"/>
          </w:tcPr>
          <w:p>
            <w:r>
              <w:t>Clinical Operations / Nursing</w:t>
            </w:r>
          </w:p>
        </w:tc>
      </w:tr>
      <w:tr>
        <w:tc>
          <w:tcPr>
            <w:tcW w:type="dxa" w:w="4320"/>
          </w:tcPr>
          <w:p>
            <w:r>
              <w:rPr>
                <w:b/>
              </w:rPr>
              <w:t>Policy Owner</w:t>
            </w:r>
          </w:p>
        </w:tc>
        <w:tc>
          <w:tcPr>
            <w:tcW w:type="dxa" w:w="4320"/>
          </w:tcPr>
          <w:p>
            <w:r>
              <w:t>Chief Nursing Officer</w:t>
            </w:r>
          </w:p>
        </w:tc>
      </w:tr>
      <w:tr>
        <w:tc>
          <w:tcPr>
            <w:tcW w:type="dxa" w:w="4320"/>
          </w:tcPr>
          <w:p>
            <w:r>
              <w:rPr>
                <w:b/>
              </w:rPr>
              <w:t>Approved By</w:t>
            </w:r>
          </w:p>
        </w:tc>
        <w:tc>
          <w:tcPr>
            <w:tcW w:type="dxa" w:w="4320"/>
          </w:tcPr>
          <w:p>
            <w:r>
              <w:t>Medical Executive Committee</w:t>
            </w:r>
          </w:p>
        </w:tc>
      </w:tr>
      <w:tr>
        <w:tc>
          <w:tcPr>
            <w:tcW w:type="dxa" w:w="4320"/>
          </w:tcPr>
          <w:p>
            <w:r>
              <w:rPr>
                <w:b/>
              </w:rPr>
              <w:t>Effective Date</w:t>
            </w:r>
          </w:p>
        </w:tc>
        <w:tc>
          <w:tcPr>
            <w:tcW w:type="dxa" w:w="4320"/>
          </w:tcPr>
          <w:p>
            <w:r>
              <w:t>01/01/2025</w:t>
            </w:r>
          </w:p>
        </w:tc>
      </w:tr>
      <w:tr>
        <w:tc>
          <w:tcPr>
            <w:tcW w:type="dxa" w:w="4320"/>
          </w:tcPr>
          <w:p>
            <w:r>
              <w:rPr>
                <w:b/>
              </w:rPr>
              <w:t>Last Reviewed</w:t>
            </w:r>
          </w:p>
        </w:tc>
        <w:tc>
          <w:tcPr>
            <w:tcW w:type="dxa" w:w="4320"/>
          </w:tcPr>
          <w:p>
            <w:r>
              <w:t>01/01/2026</w:t>
            </w:r>
          </w:p>
        </w:tc>
      </w:tr>
      <w:tr>
        <w:tc>
          <w:tcPr>
            <w:tcW w:type="dxa" w:w="4320"/>
          </w:tcPr>
          <w:p>
            <w:r>
              <w:rPr>
                <w:b/>
              </w:rPr>
              <w:t>Next Review</w:t>
            </w:r>
          </w:p>
        </w:tc>
        <w:tc>
          <w:tcPr>
            <w:tcW w:type="dxa" w:w="4320"/>
          </w:tcPr>
          <w:p>
            <w:r>
              <w:t>01/01/2027</w:t>
            </w:r>
          </w:p>
        </w:tc>
      </w:tr>
    </w:tbl>
    <w:p>
      <w:r>
        <w:t>CLN-120 | Patient Symptom Triage and Nurse Advice | Effective 01/01/2025</w:t>
      </w:r>
    </w:p>
    <w:p>
      <w:r>
        <w:rPr>
          <w:b/>
          <w:color w:val="1F3A5F"/>
          <w:sz w:val="24"/>
        </w:rPr>
        <w:t>1. PURPOSE</w:t>
      </w:r>
    </w:p>
    <w:p>
      <w:r>
        <w:t>To ensure that patients who report symptoms by phone, email, or Patient Portal message are directed to the appropriate level of care in a safe and timely way.</w:t>
      </w:r>
    </w:p>
    <w:p>
      <w:r>
        <w:rPr>
          <w:b/>
          <w:color w:val="1F3A5F"/>
          <w:sz w:val="24"/>
        </w:rPr>
        <w:t>2. SCOPE</w:t>
      </w:r>
    </w:p>
    <w:p>
      <w:r>
        <w:t>Applies to registered nurses, clinicians, medical assistants, and patient support staff who receive patient communications about symptoms.</w:t>
      </w:r>
    </w:p>
    <w:p>
      <w:r>
        <w:rPr>
          <w:b/>
          <w:color w:val="1F3A5F"/>
          <w:sz w:val="24"/>
        </w:rPr>
        <w:t>3. POLICY</w:t>
      </w:r>
    </w:p>
    <w:p>
      <w:r>
        <w:t>3.1 Staff do not diagnose conditions, recommend medications or doses, or change treatment by email or portal message.</w:t>
      </w:r>
    </w:p>
    <w:p>
      <w:r>
        <w:t>3.2 Any message describing possible emergency symptoms is treated as urgent and escalated immediately (see Section 4).</w:t>
      </w:r>
    </w:p>
    <w:p>
      <w:r>
        <w:t>3.3 Non-urgent symptom questions are answered by the care team within 2 business days or routed to an appointment.</w:t>
      </w:r>
    </w:p>
    <w:p>
      <w:r>
        <w:rPr>
          <w:b/>
          <w:color w:val="1F3A5F"/>
          <w:sz w:val="24"/>
        </w:rPr>
        <w:t>4. EMERGENCY SYMPTOMS (CALL 911)</w:t>
      </w:r>
    </w:p>
    <w:p>
      <w:r>
        <w:t>Patients reporting any of the following are instructed to call 911 or go to the nearest emergency department immediately:</w:t>
      </w:r>
    </w:p>
    <w:p>
      <w:pPr>
        <w:pStyle w:val="ListBullet"/>
      </w:pPr>
      <w:r>
        <w:t>Chest pain, pressure, or tightness, especially with sweating, nausea, or pain spreading to the arm, neck, or jaw</w:t>
      </w:r>
    </w:p>
    <w:p>
      <w:pPr>
        <w:pStyle w:val="ListBullet"/>
      </w:pPr>
      <w:r>
        <w:t>Trouble breathing or shortness of breath</w:t>
      </w:r>
    </w:p>
    <w:p>
      <w:pPr>
        <w:pStyle w:val="ListBullet"/>
      </w:pPr>
      <w:r>
        <w:t>Signs of stroke: face drooping, weakness or numbness on one side of the body, slurred speech, sudden confusion</w:t>
      </w:r>
    </w:p>
    <w:p>
      <w:pPr>
        <w:pStyle w:val="ListBullet"/>
      </w:pPr>
      <w:r>
        <w:t>Fainting, collapse, or being unresponsive</w:t>
      </w:r>
    </w:p>
    <w:p>
      <w:pPr>
        <w:pStyle w:val="ListBullet"/>
      </w:pPr>
      <w:r>
        <w:t>Severe bleeding</w:t>
      </w:r>
    </w:p>
    <w:p>
      <w:pPr>
        <w:pStyle w:val="ListBullet"/>
      </w:pPr>
      <w:r>
        <w:t>Possible overdose or poisoning (Poison Control: 1-800-222-1222)</w:t>
      </w:r>
    </w:p>
    <w:p>
      <w:pPr>
        <w:pStyle w:val="ListBullet"/>
      </w:pPr>
      <w:r>
        <w:t>Thoughts of suicide or self-harm (also provide the 988 Suicide and Crisis Lifeline: call or text 988)</w:t>
      </w:r>
    </w:p>
    <w:p>
      <w:r>
        <w:t>Staff must not ask the patient to wait for an appointment or a callback for these symptoms.</w:t>
      </w:r>
    </w:p>
    <w:p>
      <w:r>
        <w:rPr>
          <w:b/>
          <w:color w:val="1F3A5F"/>
          <w:sz w:val="24"/>
        </w:rPr>
        <w:t>5. NON-EMERGENCY SYMPTOMS</w:t>
      </w:r>
    </w:p>
    <w:p>
      <w:r>
        <w:t>For mild symptoms such as cough, cold, sore throat, low-grade fever, or minor rash, patients may book a same-day or next-day visit, or a telehealth video visit.</w:t>
      </w:r>
    </w:p>
    <w:p>
      <w:r>
        <w:t>Patients are advised to schedule a visit if:</w:t>
      </w:r>
    </w:p>
    <w:p>
      <w:pPr>
        <w:pStyle w:val="ListBullet"/>
      </w:pPr>
      <w:r>
        <w:t>A cough lasts longer than 1 to 2 weeks, or is getting worse</w:t>
      </w:r>
    </w:p>
    <w:p>
      <w:pPr>
        <w:pStyle w:val="ListBullet"/>
      </w:pPr>
      <w:r>
        <w:t>A fever lasts more than 3 days</w:t>
      </w:r>
    </w:p>
    <w:p>
      <w:pPr>
        <w:pStyle w:val="ListBullet"/>
      </w:pPr>
      <w:r>
        <w:t>Symptoms improve and then return or worsen</w:t>
      </w:r>
    </w:p>
    <w:p>
      <w:pPr>
        <w:pStyle w:val="ListBullet"/>
      </w:pPr>
      <w:r>
        <w:t>They have a chronic condition such as asthma, COPD, diabetes, heart disease, or a weakened immune system</w:t>
      </w:r>
    </w:p>
    <w:p>
      <w:pPr>
        <w:pStyle w:val="ListBullet"/>
      </w:pPr>
      <w:r>
        <w:t>They are worried about their symptoms</w:t>
      </w:r>
    </w:p>
    <w:p>
      <w:r>
        <w:t>Same-day urgent care is advised for a cough with high fever or coughing up blood. Trouble breathing requires 911.</w:t>
      </w:r>
    </w:p>
    <w:p>
      <w:r>
        <w:rPr>
          <w:b/>
          <w:color w:val="1F3A5F"/>
          <w:sz w:val="24"/>
        </w:rPr>
        <w:t>6. NURSE ADVICE LINE</w:t>
      </w:r>
    </w:p>
    <w:p>
      <w:r>
        <w:t>A registered nurse is available by phone during clinic hours to help patients decide on the right level of care, using approved telephone triage protocols. Nurses provide general guidance only and document every call.</w:t>
      </w:r>
    </w:p>
    <w:p>
      <w:r>
        <w:rPr>
          <w:b/>
          <w:color w:val="1F3A5F"/>
          <w:sz w:val="24"/>
        </w:rPr>
        <w:t>7. RESPONSIBILITIES</w:t>
      </w:r>
    </w:p>
    <w:p>
      <w:pPr>
        <w:pStyle w:val="ListBullet"/>
      </w:pPr>
      <w:r>
        <w:t>Patient support staff: Recognize emergency language in messages and escalate to a nurse immediately.</w:t>
      </w:r>
    </w:p>
    <w:p>
      <w:pPr>
        <w:pStyle w:val="ListBullet"/>
      </w:pPr>
      <w:r>
        <w:t>Registered nurses: Perform triage using approved protocols and document the disposition.</w:t>
      </w:r>
    </w:p>
    <w:p>
      <w:pPr>
        <w:pStyle w:val="ListBullet"/>
      </w:pPr>
      <w:r>
        <w:t>Clinicians: Review escalated cases and provide medical decisions.</w:t>
      </w:r>
    </w:p>
    <w:p>
      <w:r>
        <w:rPr>
          <w:b/>
          <w:color w:val="1F3A5F"/>
          <w:sz w:val="24"/>
        </w:rPr>
        <w:t>8. REFERENCES</w:t>
      </w:r>
    </w:p>
    <w:p>
      <w:pPr>
        <w:pStyle w:val="ListBullet"/>
      </w:pPr>
      <w:r>
        <w:t>Approved telephone triage protocols (Schmitt-Thompson)</w:t>
      </w:r>
    </w:p>
    <w:p>
      <w:pPr>
        <w:pStyle w:val="ListBullet"/>
      </w:pPr>
      <w:r>
        <w:t>Related policies: COM-210 Patient Electronic Communication; PHM-210 Prescription Refill Requests</w:t>
      </w:r>
    </w:p>
    <w:p>
      <w:r>
        <w:rPr>
          <w:b/>
          <w:color w:val="1F3A5F"/>
          <w:sz w:val="24"/>
        </w:rP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Summary of Changes</w:t>
            </w:r>
          </w:p>
        </w:tc>
      </w:tr>
      <w:tr>
        <w:tc>
          <w:tcPr>
            <w:tcW w:type="dxa" w:w="2880"/>
          </w:tcPr>
          <w:p>
            <w:r>
              <w:t>1.0</w:t>
            </w:r>
          </w:p>
        </w:tc>
        <w:tc>
          <w:tcPr>
            <w:tcW w:type="dxa" w:w="2880"/>
          </w:tcPr>
          <w:p>
            <w:r>
              <w:t>05/01/2021</w:t>
            </w:r>
          </w:p>
        </w:tc>
        <w:tc>
          <w:tcPr>
            <w:tcW w:type="dxa" w:w="2880"/>
          </w:tcPr>
          <w:p>
            <w:r>
              <w:t>New policy</w:t>
            </w:r>
          </w:p>
        </w:tc>
      </w:tr>
      <w:tr>
        <w:tc>
          <w:tcPr>
            <w:tcW w:type="dxa" w:w="2880"/>
          </w:tcPr>
          <w:p>
            <w:r>
              <w:t>1.1</w:t>
            </w:r>
          </w:p>
        </w:tc>
        <w:tc>
          <w:tcPr>
            <w:tcW w:type="dxa" w:w="2880"/>
          </w:tcPr>
          <w:p>
            <w:r>
              <w:t>01/01/2025</w:t>
            </w:r>
          </w:p>
        </w:tc>
        <w:tc>
          <w:tcPr>
            <w:tcW w:type="dxa" w:w="2880"/>
          </w:tcPr>
          <w:p>
            <w:r>
              <w:t>Added stroke signs and 988 Lifeline</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i/>
        <w:sz w:val="16"/>
      </w:rPr>
      <w:t>CLN-120  |  Sample policy written for a portfolio demonstration project. Riverbend Health System is a fictional organization.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