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RIVERBEND HEALTH SYSTEM</w:t>
      </w:r>
    </w:p>
    <w:p>
      <w:pPr>
        <w:jc w:val="center"/>
      </w:pPr>
      <w:r>
        <w:rPr>
          <w:b/>
          <w:sz w:val="26"/>
        </w:rPr>
        <w:t>POLICY: Patient and Visitor Access, Parking, Service Animals, and Accessibility</w:t>
      </w:r>
    </w:p>
    <w:tbl>
      <w:tblPr>
        <w:tblStyle w:val="TableGrid"/>
        <w:tblW w:type="auto" w:w="0"/>
        <w:tblLook w:firstColumn="1" w:firstRow="1" w:lastColumn="0" w:lastRow="0" w:noHBand="0" w:noVBand="1" w:val="04A0"/>
      </w:tblPr>
      <w:tblGrid>
        <w:gridCol w:w="4320"/>
        <w:gridCol w:w="4320"/>
      </w:tblGrid>
      <w:tr>
        <w:tc>
          <w:tcPr>
            <w:tcW w:type="dxa" w:w="4320"/>
          </w:tcPr>
          <w:p>
            <w:r>
              <w:rPr>
                <w:b/>
              </w:rPr>
              <w:t>Policy Number</w:t>
            </w:r>
          </w:p>
        </w:tc>
        <w:tc>
          <w:tcPr>
            <w:tcW w:type="dxa" w:w="4320"/>
          </w:tcPr>
          <w:p>
            <w:r>
              <w:t>FAC-305</w:t>
            </w:r>
          </w:p>
        </w:tc>
      </w:tr>
      <w:tr>
        <w:tc>
          <w:tcPr>
            <w:tcW w:type="dxa" w:w="4320"/>
          </w:tcPr>
          <w:p>
            <w:r>
              <w:rPr>
                <w:b/>
              </w:rPr>
              <w:t>Department</w:t>
            </w:r>
          </w:p>
        </w:tc>
        <w:tc>
          <w:tcPr>
            <w:tcW w:type="dxa" w:w="4320"/>
          </w:tcPr>
          <w:p>
            <w:r>
              <w:t>Facilities and Patient Experience</w:t>
            </w:r>
          </w:p>
        </w:tc>
      </w:tr>
      <w:tr>
        <w:tc>
          <w:tcPr>
            <w:tcW w:type="dxa" w:w="4320"/>
          </w:tcPr>
          <w:p>
            <w:r>
              <w:rPr>
                <w:b/>
              </w:rPr>
              <w:t>Policy Owner</w:t>
            </w:r>
          </w:p>
        </w:tc>
        <w:tc>
          <w:tcPr>
            <w:tcW w:type="dxa" w:w="4320"/>
          </w:tcPr>
          <w:p>
            <w:r>
              <w:t>Director, Patient Experience</w:t>
            </w:r>
          </w:p>
        </w:tc>
      </w:tr>
      <w:tr>
        <w:tc>
          <w:tcPr>
            <w:tcW w:type="dxa" w:w="4320"/>
          </w:tcPr>
          <w:p>
            <w:r>
              <w:rPr>
                <w:b/>
              </w:rPr>
              <w:t>Approved By</w:t>
            </w:r>
          </w:p>
        </w:tc>
        <w:tc>
          <w:tcPr>
            <w:tcW w:type="dxa" w:w="4320"/>
          </w:tcPr>
          <w:p>
            <w:r>
              <w:t>Chief Operating Officer; ADA Compliance Officer</w:t>
            </w:r>
          </w:p>
        </w:tc>
      </w:tr>
      <w:tr>
        <w:tc>
          <w:tcPr>
            <w:tcW w:type="dxa" w:w="4320"/>
          </w:tcPr>
          <w:p>
            <w:r>
              <w:rPr>
                <w:b/>
              </w:rPr>
              <w:t>Effective Date</w:t>
            </w:r>
          </w:p>
        </w:tc>
        <w:tc>
          <w:tcPr>
            <w:tcW w:type="dxa" w:w="4320"/>
          </w:tcPr>
          <w:p>
            <w:r>
              <w:t>03/01/2025</w:t>
            </w:r>
          </w:p>
        </w:tc>
      </w:tr>
      <w:tr>
        <w:tc>
          <w:tcPr>
            <w:tcW w:type="dxa" w:w="4320"/>
          </w:tcPr>
          <w:p>
            <w:r>
              <w:rPr>
                <w:b/>
              </w:rPr>
              <w:t>Last Reviewed</w:t>
            </w:r>
          </w:p>
        </w:tc>
        <w:tc>
          <w:tcPr>
            <w:tcW w:type="dxa" w:w="4320"/>
          </w:tcPr>
          <w:p>
            <w:r>
              <w:t>03/01/2026</w:t>
            </w:r>
          </w:p>
        </w:tc>
      </w:tr>
      <w:tr>
        <w:tc>
          <w:tcPr>
            <w:tcW w:type="dxa" w:w="4320"/>
          </w:tcPr>
          <w:p>
            <w:r>
              <w:rPr>
                <w:b/>
              </w:rPr>
              <w:t>Next Review</w:t>
            </w:r>
          </w:p>
        </w:tc>
        <w:tc>
          <w:tcPr>
            <w:tcW w:type="dxa" w:w="4320"/>
          </w:tcPr>
          <w:p>
            <w:r>
              <w:t>03/01/2027</w:t>
            </w:r>
          </w:p>
        </w:tc>
      </w:tr>
    </w:tbl>
    <w:p>
      <w:r>
        <w:t>FAC-305 | Patient and Visitor Access, Parking, Service Animals, and Accessibility | Effective 03/01/2025</w:t>
      </w:r>
    </w:p>
    <w:p>
      <w:r>
        <w:rPr>
          <w:b/>
          <w:color w:val="1F3A5F"/>
          <w:sz w:val="24"/>
        </w:rPr>
        <w:t>1. PURPOSE</w:t>
      </w:r>
    </w:p>
    <w:p>
      <w:r>
        <w:t>To ensure safe, equal, and welcoming access to Riverbend clinics for patients, companions, and visitors, including people with disabilities and people with limited English proficiency.</w:t>
      </w:r>
    </w:p>
    <w:p>
      <w:r>
        <w:rPr>
          <w:b/>
          <w:color w:val="1F3A5F"/>
          <w:sz w:val="24"/>
        </w:rPr>
        <w:t>2. SCOPE</w:t>
      </w:r>
    </w:p>
    <w:p>
      <w:r>
        <w:t>Applies to all Riverbend outpatient clinic locations, workforce members, contractors, and visitors.</w:t>
      </w:r>
    </w:p>
    <w:p>
      <w:r>
        <w:rPr>
          <w:b/>
          <w:color w:val="1F3A5F"/>
          <w:sz w:val="24"/>
        </w:rPr>
        <w:t>3. DEFINITIONS</w:t>
      </w:r>
    </w:p>
    <w:p>
      <w:pPr>
        <w:pStyle w:val="ListBullet"/>
      </w:pPr>
      <w:r>
        <w:t>Service Animal: A dog that is individually trained to do work or perform tasks for a person with a disability. In some cases, a trained miniature horse may also qualify.</w:t>
      </w:r>
    </w:p>
    <w:p>
      <w:pPr>
        <w:pStyle w:val="ListBullet"/>
      </w:pPr>
      <w:r>
        <w:t>Emotional Support Animal: An animal that provides comfort but is not trained to perform a specific task. It is not a service animal under the ADA.</w:t>
      </w:r>
    </w:p>
    <w:p>
      <w:pPr>
        <w:pStyle w:val="ListBullet"/>
      </w:pPr>
      <w:r>
        <w:t>Qualified Interpreter: An interpreter who can interpret effectively, accurately, and impartially, including American Sign Language (ASL) interpreters.</w:t>
      </w:r>
    </w:p>
    <w:p>
      <w:r>
        <w:rPr>
          <w:b/>
          <w:color w:val="1F3A5F"/>
          <w:sz w:val="24"/>
        </w:rPr>
        <w:t>4. POLICY</w:t>
      </w:r>
    </w:p>
    <w:p>
      <w:r>
        <w:t>4.1 Parking: Free patient and visitor parking is available at all clinic locations. Accessible parking spaces are located closest to the main entrance. A covered drop-off area is available at the main entrance for patients with limited mobility. Overflow parking is located in the rear lot.</w:t>
      </w:r>
    </w:p>
    <w:p>
      <w:r>
        <w:t>4.2 Service animals: Service animals are permitted in all areas of the clinic open to patients and the public. The animal must be harnessed, leashed, or otherwise under the handler's control and must be housebroken.</w:t>
      </w:r>
    </w:p>
    <w:p>
      <w:r>
        <w:t>4.3 Staff may ask only two questions when it is not obvious what service a dog provides: (1) Is the dog a service animal required because of a disability? and (2) What work or task has the dog been trained to perform? Staff may not ask for documentation, certification, or details about the person's disability.</w:t>
      </w:r>
    </w:p>
    <w:p>
      <w:r>
        <w:t>4.4 Emotional support animals, therapy animals, and pets are not permitted inside the clinic.</w:t>
      </w:r>
    </w:p>
    <w:p>
      <w:r>
        <w:t>4.5 A service animal may be asked to leave only if it is out of control and the handler does not take effective action, or if it is not housebroken. The patient is still offered care without the animal.</w:t>
      </w:r>
    </w:p>
    <w:p>
      <w:r>
        <w:t>4.6 Language assistance: Free, qualified medical interpreters are available in more than 100 languages, including ASL, by video, phone, or in person. Family members, especially minors, are not used as interpreters except in emergencies or at the patient's request for non-clinical matters.</w:t>
      </w:r>
    </w:p>
    <w:p>
      <w:r>
        <w:t>4.7 Companions: Patients may bring one adult companion to appointments. Additional visitors may be limited during infection-control alerts.</w:t>
      </w:r>
    </w:p>
    <w:p>
      <w:r>
        <w:t>4.8 Accessibility: All clinic buildings are wheelchair accessible. Wheelchairs, accessible exam tables, and assistance with forms are available on request.</w:t>
      </w:r>
    </w:p>
    <w:p>
      <w:r>
        <w:rPr>
          <w:b/>
          <w:color w:val="1F3A5F"/>
          <w:sz w:val="24"/>
        </w:rPr>
        <w:t>5. PROCEDURE</w:t>
      </w:r>
    </w:p>
    <w:p>
      <w:pPr>
        <w:pStyle w:val="ListBullet"/>
      </w:pPr>
      <w:r>
        <w:t>Patients needing an interpreter or accommodation should tell the scheduling team when booking so arrangements can be made in advance.</w:t>
      </w:r>
    </w:p>
    <w:p>
      <w:pPr>
        <w:pStyle w:val="ListBullet"/>
      </w:pPr>
      <w:r>
        <w:t>Front desk staff document interpreter and accommodation needs in the patient record.</w:t>
      </w:r>
    </w:p>
    <w:p>
      <w:pPr>
        <w:pStyle w:val="ListBullet"/>
      </w:pPr>
      <w:r>
        <w:t>Questions about access or accommodations are routed to the Patient Experience team.</w:t>
      </w:r>
    </w:p>
    <w:p>
      <w:r>
        <w:rPr>
          <w:b/>
          <w:color w:val="1F3A5F"/>
          <w:sz w:val="24"/>
        </w:rPr>
        <w:t>6. CLINIC HOURS</w:t>
      </w:r>
    </w:p>
    <w:p>
      <w:r>
        <w:t>Clinics are open Monday to Friday, 8:00 AM to 6:00 PM, and Saturday, 9:00 AM to 1:00 PM. Clinics are closed on Sundays and major holidays.</w:t>
      </w:r>
    </w:p>
    <w:p>
      <w:r>
        <w:rPr>
          <w:b/>
          <w:color w:val="1F3A5F"/>
          <w:sz w:val="24"/>
        </w:rPr>
        <w:t>7. REFERENCES</w:t>
      </w:r>
    </w:p>
    <w:p>
      <w:pPr>
        <w:pStyle w:val="ListBullet"/>
      </w:pPr>
      <w:r>
        <w:t>Americans with Disabilities Act, Title III, Service Animals, 28 CFR 36.302(c)</w:t>
      </w:r>
    </w:p>
    <w:p>
      <w:pPr>
        <w:pStyle w:val="ListBullet"/>
      </w:pPr>
      <w:r>
        <w:t>Section 1557 of the Affordable Care Act, Nondiscrimination and Language Assistance, 45 CFR Part 92</w:t>
      </w:r>
    </w:p>
    <w:p>
      <w:r>
        <w:rPr>
          <w:b/>
          <w:color w:val="1F3A5F"/>
          <w:sz w:val="24"/>
        </w:rP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Summary of Changes</w:t>
            </w:r>
          </w:p>
        </w:tc>
      </w:tr>
      <w:tr>
        <w:tc>
          <w:tcPr>
            <w:tcW w:type="dxa" w:w="2880"/>
          </w:tcPr>
          <w:p>
            <w:r>
              <w:t>1.0</w:t>
            </w:r>
          </w:p>
        </w:tc>
        <w:tc>
          <w:tcPr>
            <w:tcW w:type="dxa" w:w="2880"/>
          </w:tcPr>
          <w:p>
            <w:r>
              <w:t>09/01/2020</w:t>
            </w:r>
          </w:p>
        </w:tc>
        <w:tc>
          <w:tcPr>
            <w:tcW w:type="dxa" w:w="2880"/>
          </w:tcPr>
          <w:p>
            <w:r>
              <w:t>New policy</w:t>
            </w:r>
          </w:p>
        </w:tc>
      </w:tr>
      <w:tr>
        <w:tc>
          <w:tcPr>
            <w:tcW w:type="dxa" w:w="2880"/>
          </w:tcPr>
          <w:p>
            <w:r>
              <w:t>2.0</w:t>
            </w:r>
          </w:p>
        </w:tc>
        <w:tc>
          <w:tcPr>
            <w:tcW w:type="dxa" w:w="2880"/>
          </w:tcPr>
          <w:p>
            <w:r>
              <w:t>03/01/2025</w:t>
            </w:r>
          </w:p>
        </w:tc>
        <w:tc>
          <w:tcPr>
            <w:tcW w:type="dxa" w:w="2880"/>
          </w:tcPr>
          <w:p>
            <w:r>
              <w:t>Added service animal staff guidance and interpreter standards</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sz w:val="16"/>
      </w:rPr>
      <w:t>FAC-305  |  Sample policy written for a portfolio demonstration project. Riverbend Health System is a fictional organization.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