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RIVERBEND HEALTH SYSTEM</w:t>
      </w:r>
    </w:p>
    <w:p>
      <w:pPr>
        <w:jc w:val="center"/>
      </w:pPr>
      <w:r>
        <w:rPr>
          <w:b/>
          <w:sz w:val="26"/>
        </w:rPr>
        <w:t>POLICY: Patient Access to Medical Records and Test Results</w:t>
      </w:r>
    </w:p>
    <w:tbl>
      <w:tblPr>
        <w:tblStyle w:val="TableGrid"/>
        <w:tblW w:type="auto" w:w="0"/>
        <w:tblLook w:firstColumn="1" w:firstRow="1" w:lastColumn="0" w:lastRow="0" w:noHBand="0" w:noVBand="1" w:val="04A0"/>
      </w:tblPr>
      <w:tblGrid>
        <w:gridCol w:w="4320"/>
        <w:gridCol w:w="4320"/>
      </w:tblGrid>
      <w:tr>
        <w:tc>
          <w:tcPr>
            <w:tcW w:type="dxa" w:w="4320"/>
          </w:tcPr>
          <w:p>
            <w:r>
              <w:rPr>
                <w:b/>
              </w:rPr>
              <w:t>Policy Number</w:t>
            </w:r>
          </w:p>
        </w:tc>
        <w:tc>
          <w:tcPr>
            <w:tcW w:type="dxa" w:w="4320"/>
          </w:tcPr>
          <w:p>
            <w:r>
              <w:t>HIM-104</w:t>
            </w:r>
          </w:p>
        </w:tc>
      </w:tr>
      <w:tr>
        <w:tc>
          <w:tcPr>
            <w:tcW w:type="dxa" w:w="4320"/>
          </w:tcPr>
          <w:p>
            <w:r>
              <w:rPr>
                <w:b/>
              </w:rPr>
              <w:t>Department</w:t>
            </w:r>
          </w:p>
        </w:tc>
        <w:tc>
          <w:tcPr>
            <w:tcW w:type="dxa" w:w="4320"/>
          </w:tcPr>
          <w:p>
            <w:r>
              <w:t>Health Information Management (HIM)</w:t>
            </w:r>
          </w:p>
        </w:tc>
      </w:tr>
      <w:tr>
        <w:tc>
          <w:tcPr>
            <w:tcW w:type="dxa" w:w="4320"/>
          </w:tcPr>
          <w:p>
            <w:r>
              <w:rPr>
                <w:b/>
              </w:rPr>
              <w:t>Policy Owner</w:t>
            </w:r>
          </w:p>
        </w:tc>
        <w:tc>
          <w:tcPr>
            <w:tcW w:type="dxa" w:w="4320"/>
          </w:tcPr>
          <w:p>
            <w:r>
              <w:t>Director, Health Information Management</w:t>
            </w:r>
          </w:p>
        </w:tc>
      </w:tr>
      <w:tr>
        <w:tc>
          <w:tcPr>
            <w:tcW w:type="dxa" w:w="4320"/>
          </w:tcPr>
          <w:p>
            <w:r>
              <w:rPr>
                <w:b/>
              </w:rPr>
              <w:t>Approved By</w:t>
            </w:r>
          </w:p>
        </w:tc>
        <w:tc>
          <w:tcPr>
            <w:tcW w:type="dxa" w:w="4320"/>
          </w:tcPr>
          <w:p>
            <w:r>
              <w:t>Privacy Officer; Chief Medical Officer</w:t>
            </w:r>
          </w:p>
        </w:tc>
      </w:tr>
      <w:tr>
        <w:tc>
          <w:tcPr>
            <w:tcW w:type="dxa" w:w="4320"/>
          </w:tcPr>
          <w:p>
            <w:r>
              <w:rPr>
                <w:b/>
              </w:rPr>
              <w:t>Effective Date</w:t>
            </w:r>
          </w:p>
        </w:tc>
        <w:tc>
          <w:tcPr>
            <w:tcW w:type="dxa" w:w="4320"/>
          </w:tcPr>
          <w:p>
            <w:r>
              <w:t>01/15/2025</w:t>
            </w:r>
          </w:p>
        </w:tc>
      </w:tr>
      <w:tr>
        <w:tc>
          <w:tcPr>
            <w:tcW w:type="dxa" w:w="4320"/>
          </w:tcPr>
          <w:p>
            <w:r>
              <w:rPr>
                <w:b/>
              </w:rPr>
              <w:t>Last Reviewed</w:t>
            </w:r>
          </w:p>
        </w:tc>
        <w:tc>
          <w:tcPr>
            <w:tcW w:type="dxa" w:w="4320"/>
          </w:tcPr>
          <w:p>
            <w:r>
              <w:t>01/15/2026</w:t>
            </w:r>
          </w:p>
        </w:tc>
      </w:tr>
      <w:tr>
        <w:tc>
          <w:tcPr>
            <w:tcW w:type="dxa" w:w="4320"/>
          </w:tcPr>
          <w:p>
            <w:r>
              <w:rPr>
                <w:b/>
              </w:rPr>
              <w:t>Next Review</w:t>
            </w:r>
          </w:p>
        </w:tc>
        <w:tc>
          <w:tcPr>
            <w:tcW w:type="dxa" w:w="4320"/>
          </w:tcPr>
          <w:p>
            <w:r>
              <w:t>01/15/2027</w:t>
            </w:r>
          </w:p>
        </w:tc>
      </w:tr>
    </w:tbl>
    <w:p>
      <w:r>
        <w:t>HIM-104 | Patient Access to Medical Records and Test Results | Effective 01/15/2025</w:t>
      </w:r>
    </w:p>
    <w:p>
      <w:r>
        <w:rPr>
          <w:b/>
          <w:color w:val="1F3A5F"/>
          <w:sz w:val="24"/>
        </w:rPr>
        <w:t>1. PURPOSE</w:t>
      </w:r>
    </w:p>
    <w:p>
      <w:r>
        <w:t>To describe how patients and their authorized representatives may access, obtain copies of, and direct the transfer of their protected health information (PHI), including laboratory and other test results, in accordance with the HIPAA Privacy Rule right of access.</w:t>
      </w:r>
    </w:p>
    <w:p>
      <w:r>
        <w:rPr>
          <w:b/>
          <w:color w:val="1F3A5F"/>
          <w:sz w:val="24"/>
        </w:rPr>
        <w:t>2. SCOPE</w:t>
      </w:r>
    </w:p>
    <w:p>
      <w:r>
        <w:t>This policy applies to all Riverbend Health System clinics, the Health Information Management (HIM) department, front desk staff, patient support staff, and clinical staff who receive requests for medical records or test results.</w:t>
      </w:r>
    </w:p>
    <w:p>
      <w:r>
        <w:rPr>
          <w:b/>
          <w:color w:val="1F3A5F"/>
          <w:sz w:val="24"/>
        </w:rPr>
        <w:t>3. DEFINITIONS</w:t>
      </w:r>
    </w:p>
    <w:p>
      <w:pPr>
        <w:pStyle w:val="ListBullet"/>
      </w:pPr>
      <w:r>
        <w:t>Designated Record Set: Medical and billing records used to make decisions about the patient.</w:t>
      </w:r>
    </w:p>
    <w:p>
      <w:pPr>
        <w:pStyle w:val="ListBullet"/>
      </w:pPr>
      <w:r>
        <w:t>Personal Representative: A person with legal authority to act for the patient, such as a parent of a minor or a healthcare agent under a power of attorney.</w:t>
      </w:r>
    </w:p>
    <w:p>
      <w:pPr>
        <w:pStyle w:val="ListBullet"/>
      </w:pPr>
      <w:r>
        <w:t>Records Release Form (Form HIM-104A): The signed authorization required to send records to a third party, such as another provider.</w:t>
      </w:r>
    </w:p>
    <w:p>
      <w:pPr>
        <w:pStyle w:val="ListBullet"/>
      </w:pPr>
      <w:r>
        <w:t>Patient Portal: The secure online account where patients view results, send messages, and request records.</w:t>
      </w:r>
    </w:p>
    <w:p>
      <w:r>
        <w:rPr>
          <w:b/>
          <w:color w:val="1F3A5F"/>
          <w:sz w:val="24"/>
        </w:rPr>
        <w:t>4. POLICY</w:t>
      </w:r>
    </w:p>
    <w:p>
      <w:r>
        <w:t>4.1 Patients have the right to inspect and obtain a copy of their medical records in the format they request, if readily producible, including electronic copies through the Patient Portal.</w:t>
      </w:r>
    </w:p>
    <w:p>
      <w:r>
        <w:t>4.2 Requests must be completed within 30 calendar days of receipt. If more time is needed, the patient is notified in writing of the reason and the expected date. Riverbend's internal goal is 5 business days.</w:t>
      </w:r>
    </w:p>
    <w:p>
      <w:r>
        <w:t>4.3 Electronic copies delivered through the Patient Portal are provided free of charge. Paper copies are free for the first 20 pages; a reasonable cost-based fee may apply after that, and the patient is told the fee in advance.</w:t>
      </w:r>
    </w:p>
    <w:p>
      <w:r>
        <w:t>4.4 Records are never sent by unencrypted email. Approved methods are the Patient Portal, secure fax, secure electronic exchange, encrypted email, or in-person pickup with photo ID.</w:t>
      </w:r>
    </w:p>
    <w:p>
      <w:r>
        <w:t>4.5 Staff may not interpret test results for patients by email or portal message. Questions about the meaning of a result are routed to the ordering clinician.</w:t>
      </w:r>
    </w:p>
    <w:p>
      <w:r>
        <w:rPr>
          <w:b/>
          <w:color w:val="1F3A5F"/>
          <w:sz w:val="24"/>
        </w:rPr>
        <w:t>5. PROCEDURE</w:t>
      </w:r>
    </w:p>
    <w:p>
      <w:r>
        <w:rPr>
          <w:b/>
        </w:rPr>
        <w:t>5.1 Requesting a copy of your own records</w:t>
      </w:r>
    </w:p>
    <w:p>
      <w:pPr>
        <w:pStyle w:val="ListBullet"/>
      </w:pPr>
      <w:r>
        <w:t>Patients may request records through the Patient Portal (Menu &gt; Records &gt; Request a Copy), by completing Form HIM-104A at any front desk, or by mailing the signed form to HIM.</w:t>
      </w:r>
    </w:p>
    <w:p>
      <w:pPr>
        <w:pStyle w:val="ListBullet"/>
      </w:pPr>
      <w:r>
        <w:t>Photo identification is verified for in-person requests. Portal requests are verified through the patient's portal login.</w:t>
      </w:r>
    </w:p>
    <w:p>
      <w:r>
        <w:rPr>
          <w:b/>
        </w:rPr>
        <w:t>5.2 Sending records or lab results to another doctor or provider</w:t>
      </w:r>
    </w:p>
    <w:p>
      <w:pPr>
        <w:pStyle w:val="ListBullet"/>
      </w:pPr>
      <w:r>
        <w:t>The patient signs Form HIM-104A naming the receiving provider and their secure fax number or secure electronic address.</w:t>
      </w:r>
    </w:p>
    <w:p>
      <w:pPr>
        <w:pStyle w:val="ListBullet"/>
      </w:pPr>
      <w:r>
        <w:t>HIM sends the records within 3 to 5 business days after the signed form is received.</w:t>
      </w:r>
    </w:p>
    <w:p>
      <w:pPr>
        <w:pStyle w:val="ListBullet"/>
      </w:pPr>
      <w:r>
        <w:t>If the records are needed urgently, for example for an upcoming surgery or specialist visit, the patient may call HIM to request expedited processing (target: 1 business day).</w:t>
      </w:r>
    </w:p>
    <w:p>
      <w:pPr>
        <w:pStyle w:val="ListBullet"/>
      </w:pPr>
      <w:r>
        <w:t>Provider-to-provider transfers for treatment purposes do not require a fee.</w:t>
      </w:r>
    </w:p>
    <w:p>
      <w:r>
        <w:rPr>
          <w:b/>
        </w:rPr>
        <w:t>5.3 Release of laboratory and test results</w:t>
      </w:r>
    </w:p>
    <w:p>
      <w:pPr>
        <w:pStyle w:val="ListBullet"/>
      </w:pPr>
      <w:r>
        <w:t>Most results are released automatically to the Patient Portal within 1 to 3 business days after they are final.</w:t>
      </w:r>
    </w:p>
    <w:p>
      <w:pPr>
        <w:pStyle w:val="ListBullet"/>
      </w:pPr>
      <w:r>
        <w:t>Certain sensitive results may be held for clinician review before release, as permitted by law.</w:t>
      </w:r>
    </w:p>
    <w:p>
      <w:pPr>
        <w:pStyle w:val="ListBullet"/>
      </w:pPr>
      <w:r>
        <w:t>The ordering clinician's team contacts the patient about any result that needs follow-up.</w:t>
      </w:r>
    </w:p>
    <w:p>
      <w:pPr>
        <w:pStyle w:val="ListBullet"/>
      </w:pPr>
      <w:r>
        <w:t>If a patient has not received a result within 7 days of the test, they should send a Patient Portal message to the care team.</w:t>
      </w:r>
    </w:p>
    <w:p>
      <w:r>
        <w:rPr>
          <w:b/>
        </w:rPr>
        <w:t>5.4 Requests for another person's records</w:t>
      </w:r>
    </w:p>
    <w:p>
      <w:pPr>
        <w:pStyle w:val="ListBullet"/>
      </w:pPr>
      <w:r>
        <w:t>A parent or legal guardian may request records of a minor child, subject to state law on minor consent.</w:t>
      </w:r>
    </w:p>
    <w:p>
      <w:pPr>
        <w:pStyle w:val="ListBullet"/>
      </w:pPr>
      <w:r>
        <w:t>Records of another adult require that adult's signed authorization or proof of personal representative status.</w:t>
      </w:r>
    </w:p>
    <w:p>
      <w:r>
        <w:rPr>
          <w:b/>
        </w:rPr>
        <w:t>5.5 Amendment requests</w:t>
      </w:r>
    </w:p>
    <w:p>
      <w:pPr>
        <w:pStyle w:val="ListBullet"/>
      </w:pPr>
      <w:r>
        <w:t>Patients who believe their record is incorrect may submit a written amendment request to HIM. HIM responds within 60 days.</w:t>
      </w:r>
    </w:p>
    <w:p>
      <w:r>
        <w:rPr>
          <w:b/>
          <w:color w:val="1F3A5F"/>
          <w:sz w:val="24"/>
        </w:rPr>
        <w:t>6. RESPONSIBILITIES</w:t>
      </w:r>
    </w:p>
    <w:p>
      <w:pPr>
        <w:pStyle w:val="ListBullet"/>
      </w:pPr>
      <w:r>
        <w:t>HIM: Processes, tracks, and documents all record requests and releases.</w:t>
      </w:r>
    </w:p>
    <w:p>
      <w:pPr>
        <w:pStyle w:val="ListBullet"/>
      </w:pPr>
      <w:r>
        <w:t>Front desk and patient support staff: Provide forms, verify identity, and route requests to HIM.</w:t>
      </w:r>
    </w:p>
    <w:p>
      <w:pPr>
        <w:pStyle w:val="ListBullet"/>
      </w:pPr>
      <w:r>
        <w:t>Clinical staff: Review held results and answer questions about result meaning.</w:t>
      </w:r>
    </w:p>
    <w:p>
      <w:r>
        <w:rPr>
          <w:b/>
          <w:color w:val="1F3A5F"/>
          <w:sz w:val="24"/>
        </w:rPr>
        <w:t>7. REFERENCES</w:t>
      </w:r>
    </w:p>
    <w:p>
      <w:pPr>
        <w:pStyle w:val="ListBullet"/>
      </w:pPr>
      <w:r>
        <w:t>HIPAA Privacy Rule, Individuals' Right of Access, 45 CFR 164.524</w:t>
      </w:r>
    </w:p>
    <w:p>
      <w:pPr>
        <w:pStyle w:val="ListBullet"/>
      </w:pPr>
      <w:r>
        <w:t>HIPAA Privacy Rule, Uses and Disclosures for Treatment, 45 CFR 164.506</w:t>
      </w:r>
    </w:p>
    <w:p>
      <w:pPr>
        <w:pStyle w:val="ListBullet"/>
      </w:pPr>
      <w:r>
        <w:t>21st Century Cures Act, Information Blocking provisions</w:t>
      </w:r>
    </w:p>
    <w:p>
      <w:pPr>
        <w:pStyle w:val="ListBullet"/>
      </w:pPr>
      <w:r>
        <w:t>Related policies: COM-210 Patient Electronic Communication</w:t>
      </w:r>
    </w:p>
    <w:p>
      <w:r>
        <w:rPr>
          <w:b/>
          <w:color w:val="1F3A5F"/>
          <w:sz w:val="24"/>
        </w:rP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Summary of Changes</w:t>
            </w:r>
          </w:p>
        </w:tc>
      </w:tr>
      <w:tr>
        <w:tc>
          <w:tcPr>
            <w:tcW w:type="dxa" w:w="2880"/>
          </w:tcPr>
          <w:p>
            <w:r>
              <w:t>1.0</w:t>
            </w:r>
          </w:p>
        </w:tc>
        <w:tc>
          <w:tcPr>
            <w:tcW w:type="dxa" w:w="2880"/>
          </w:tcPr>
          <w:p>
            <w:r>
              <w:t>03/01/2022</w:t>
            </w:r>
          </w:p>
        </w:tc>
        <w:tc>
          <w:tcPr>
            <w:tcW w:type="dxa" w:w="2880"/>
          </w:tcPr>
          <w:p>
            <w:r>
              <w:t>New policy</w:t>
            </w:r>
          </w:p>
        </w:tc>
      </w:tr>
      <w:tr>
        <w:tc>
          <w:tcPr>
            <w:tcW w:type="dxa" w:w="2880"/>
          </w:tcPr>
          <w:p>
            <w:r>
              <w:t>2.0</w:t>
            </w:r>
          </w:p>
        </w:tc>
        <w:tc>
          <w:tcPr>
            <w:tcW w:type="dxa" w:w="2880"/>
          </w:tcPr>
          <w:p>
            <w:r>
              <w:t>01/15/2025</w:t>
            </w:r>
          </w:p>
        </w:tc>
        <w:tc>
          <w:tcPr>
            <w:tcW w:type="dxa" w:w="2880"/>
          </w:tcPr>
          <w:p>
            <w:r>
              <w:t>Added portal release timelines and expedited transfers</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sz w:val="16"/>
      </w:rPr>
      <w:t>HIM-104  |  Sample policy written for a portfolio demonstration project. Riverbend Health System is a fictional organization.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